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1E498" w14:textId="0BC639BA" w:rsidR="00FE2EB7" w:rsidRPr="0073001D" w:rsidRDefault="00C45386" w:rsidP="0073001D">
      <w:pPr>
        <w:pStyle w:val="Heading1"/>
      </w:pPr>
      <w:r w:rsidRPr="0073001D">
        <w:t xml:space="preserve">Practice Guide: Curriculum – Inclusive </w:t>
      </w:r>
      <w:r w:rsidR="004F64EE" w:rsidRPr="0073001D">
        <w:t>Training</w:t>
      </w:r>
      <w:r w:rsidRPr="0073001D">
        <w:t xml:space="preserve"> and Assessment</w:t>
      </w:r>
    </w:p>
    <w:p w14:paraId="20B93B9B" w14:textId="2208B821" w:rsidR="00C45386" w:rsidRPr="00E554C0" w:rsidRDefault="00C45386" w:rsidP="00224D33">
      <w:pPr>
        <w:pStyle w:val="Heading2"/>
      </w:pPr>
      <w:r w:rsidRPr="3FAF1EFE">
        <w:t>Overview</w:t>
      </w:r>
    </w:p>
    <w:p w14:paraId="47B42B08" w14:textId="438C86AE" w:rsidR="00C45386" w:rsidRPr="00E554C0" w:rsidRDefault="008A3761" w:rsidP="00C45386">
      <w:pPr>
        <w:rPr>
          <w:rFonts w:cs="Arial"/>
        </w:rPr>
      </w:pPr>
      <w:r w:rsidRPr="3FAF1EFE">
        <w:rPr>
          <w:rFonts w:cs="Arial"/>
        </w:rPr>
        <w:t xml:space="preserve">Training </w:t>
      </w:r>
      <w:r w:rsidR="00C45386" w:rsidRPr="3FAF1EFE">
        <w:rPr>
          <w:rFonts w:cs="Arial"/>
        </w:rPr>
        <w:t xml:space="preserve">and assessment </w:t>
      </w:r>
      <w:proofErr w:type="gramStart"/>
      <w:r w:rsidR="00C45386" w:rsidRPr="3FAF1EFE">
        <w:rPr>
          <w:rFonts w:cs="Arial"/>
        </w:rPr>
        <w:t>involve</w:t>
      </w:r>
      <w:r w:rsidR="008D1A1E" w:rsidRPr="3FAF1EFE">
        <w:rPr>
          <w:rFonts w:cs="Arial"/>
        </w:rPr>
        <w:t>s</w:t>
      </w:r>
      <w:proofErr w:type="gramEnd"/>
      <w:r w:rsidR="00C45386" w:rsidRPr="3FAF1EFE">
        <w:rPr>
          <w:rFonts w:cs="Arial"/>
        </w:rPr>
        <w:t xml:space="preserve"> </w:t>
      </w:r>
      <w:r w:rsidRPr="3FAF1EFE">
        <w:rPr>
          <w:rFonts w:cs="Arial"/>
        </w:rPr>
        <w:t xml:space="preserve">the </w:t>
      </w:r>
      <w:r w:rsidR="00C45386" w:rsidRPr="3FAF1EFE">
        <w:rPr>
          <w:rFonts w:cs="Arial"/>
        </w:rPr>
        <w:t xml:space="preserve">practical strategies and resources required to </w:t>
      </w:r>
      <w:r w:rsidRPr="3FAF1EFE">
        <w:rPr>
          <w:rFonts w:cs="Arial"/>
        </w:rPr>
        <w:t xml:space="preserve">deliver the learning requirements, </w:t>
      </w:r>
      <w:r w:rsidR="00C45386" w:rsidRPr="3FAF1EFE">
        <w:rPr>
          <w:rFonts w:cs="Arial"/>
        </w:rPr>
        <w:t>engage students</w:t>
      </w:r>
      <w:r w:rsidRPr="3FAF1EFE">
        <w:rPr>
          <w:rFonts w:cs="Arial"/>
        </w:rPr>
        <w:t xml:space="preserve"> a</w:t>
      </w:r>
      <w:r w:rsidR="008D1A1E" w:rsidRPr="3FAF1EFE">
        <w:rPr>
          <w:rFonts w:cs="Arial"/>
        </w:rPr>
        <w:t>nd</w:t>
      </w:r>
      <w:r w:rsidRPr="3FAF1EFE">
        <w:rPr>
          <w:rFonts w:cs="Arial"/>
        </w:rPr>
        <w:t xml:space="preserve"> assess competency</w:t>
      </w:r>
      <w:r w:rsidR="00C45386" w:rsidRPr="3FAF1EFE">
        <w:rPr>
          <w:rFonts w:cs="Arial"/>
        </w:rPr>
        <w:t xml:space="preserve">. The way a </w:t>
      </w:r>
      <w:r w:rsidR="00F86586" w:rsidRPr="3FAF1EFE">
        <w:rPr>
          <w:rFonts w:cs="Arial"/>
        </w:rPr>
        <w:t>registered training organisation (</w:t>
      </w:r>
      <w:r w:rsidR="00C45386" w:rsidRPr="3FAF1EFE">
        <w:rPr>
          <w:rFonts w:cs="Arial"/>
        </w:rPr>
        <w:t>RTO</w:t>
      </w:r>
      <w:r w:rsidR="00F86586" w:rsidRPr="3FAF1EFE">
        <w:rPr>
          <w:rFonts w:cs="Arial"/>
        </w:rPr>
        <w:t>)</w:t>
      </w:r>
      <w:r w:rsidR="00C45386" w:rsidRPr="3FAF1EFE">
        <w:rPr>
          <w:rFonts w:cs="Arial"/>
        </w:rPr>
        <w:t xml:space="preserve"> </w:t>
      </w:r>
      <w:r w:rsidRPr="3FAF1EFE">
        <w:rPr>
          <w:rFonts w:cs="Arial"/>
        </w:rPr>
        <w:t xml:space="preserve">trains </w:t>
      </w:r>
      <w:r w:rsidR="00C45386" w:rsidRPr="3FAF1EFE">
        <w:rPr>
          <w:rFonts w:cs="Arial"/>
        </w:rPr>
        <w:t>and assesses makes a big impact on the way students with disability feel included</w:t>
      </w:r>
      <w:r w:rsidR="00256FC6" w:rsidRPr="3FAF1EFE">
        <w:rPr>
          <w:rFonts w:cs="Arial"/>
        </w:rPr>
        <w:t xml:space="preserve"> and</w:t>
      </w:r>
      <w:r w:rsidR="00C45386" w:rsidRPr="3FAF1EFE">
        <w:rPr>
          <w:rFonts w:cs="Arial"/>
        </w:rPr>
        <w:t xml:space="preserve"> engaged</w:t>
      </w:r>
      <w:r w:rsidR="002C0D11" w:rsidRPr="3FAF1EFE">
        <w:rPr>
          <w:rFonts w:cs="Arial"/>
        </w:rPr>
        <w:t>.</w:t>
      </w:r>
      <w:r w:rsidR="00C45386" w:rsidRPr="3FAF1EFE">
        <w:rPr>
          <w:rFonts w:cs="Arial"/>
        </w:rPr>
        <w:t xml:space="preserve"> </w:t>
      </w:r>
      <w:r w:rsidR="00245002" w:rsidRPr="3FAF1EFE">
        <w:rPr>
          <w:rFonts w:cs="Arial"/>
        </w:rPr>
        <w:t xml:space="preserve">It also influences their ability to </w:t>
      </w:r>
      <w:r w:rsidR="00C45386" w:rsidRPr="3FAF1EFE">
        <w:rPr>
          <w:rFonts w:cs="Arial"/>
        </w:rPr>
        <w:t>succeed in their courses.</w:t>
      </w:r>
    </w:p>
    <w:p w14:paraId="68C52121" w14:textId="6BDA1712" w:rsidR="00C45386" w:rsidRPr="00E554C0" w:rsidRDefault="00C45386" w:rsidP="00224D33">
      <w:pPr>
        <w:pStyle w:val="Heading2"/>
      </w:pPr>
      <w:r w:rsidRPr="3FAF1EFE">
        <w:t xml:space="preserve">What does inclusive </w:t>
      </w:r>
      <w:r w:rsidR="00D75256" w:rsidRPr="3FAF1EFE">
        <w:t xml:space="preserve">training </w:t>
      </w:r>
      <w:r w:rsidRPr="3FAF1EFE">
        <w:t>and assessment mean?</w:t>
      </w:r>
    </w:p>
    <w:p w14:paraId="00E07392" w14:textId="1D1FBA71" w:rsidR="00C45386" w:rsidRPr="00F154F2" w:rsidRDefault="00C45386" w:rsidP="00F154F2">
      <w:pPr>
        <w:pStyle w:val="bullettedlist"/>
      </w:pPr>
      <w:r w:rsidRPr="00F154F2">
        <w:t>The ways in which we deliver and facilitate learning affect how a student experiences their learning journey.</w:t>
      </w:r>
    </w:p>
    <w:p w14:paraId="4959B92E" w14:textId="0F0D926B" w:rsidR="00C45386" w:rsidRPr="00F154F2" w:rsidRDefault="00C45386" w:rsidP="00F154F2">
      <w:pPr>
        <w:pStyle w:val="bullettedlist"/>
      </w:pPr>
      <w:r w:rsidRPr="00F154F2">
        <w:t>No matter what methodology a course uses (</w:t>
      </w:r>
      <w:r w:rsidR="004A7895" w:rsidRPr="00F154F2">
        <w:t>e.g.,</w:t>
      </w:r>
      <w:r w:rsidRPr="00F154F2">
        <w:t xml:space="preserve"> face-to-face, online, blended), </w:t>
      </w:r>
      <w:r w:rsidR="009E16D1" w:rsidRPr="00F154F2">
        <w:t xml:space="preserve">the role of the trainer/assessor </w:t>
      </w:r>
      <w:r w:rsidRPr="00F154F2">
        <w:t>is the most critical. The trainer and assessor’s actions determine how students feel about their learning.</w:t>
      </w:r>
    </w:p>
    <w:p w14:paraId="3BBFD770" w14:textId="512A74A0" w:rsidR="00C45386" w:rsidRPr="00F154F2" w:rsidRDefault="00C45386" w:rsidP="00F154F2">
      <w:pPr>
        <w:pStyle w:val="bullettedlist"/>
      </w:pPr>
      <w:r w:rsidRPr="00F154F2">
        <w:t>Positive learning environments that are respectful, accessible and inclusive safeguard against discrimination. They encourage students to feel comfortable about discussing their learning requirements or support needs. These types of learning experiences are empowering for students and enable independent learning.</w:t>
      </w:r>
    </w:p>
    <w:p w14:paraId="4EFE1935" w14:textId="34834ED0" w:rsidR="00C45386" w:rsidRPr="00F154F2" w:rsidRDefault="00D769B8" w:rsidP="00F154F2">
      <w:pPr>
        <w:pStyle w:val="bullettedlist"/>
      </w:pPr>
      <w:r w:rsidRPr="00F154F2">
        <w:t xml:space="preserve">Consider </w:t>
      </w:r>
      <w:r w:rsidR="00C45386" w:rsidRPr="00F154F2">
        <w:t xml:space="preserve">Universal Design for Learning </w:t>
      </w:r>
      <w:r w:rsidRPr="00F154F2">
        <w:t xml:space="preserve">(UDL) as an approach to training and assessment. UDL </w:t>
      </w:r>
      <w:r w:rsidR="00C45386" w:rsidRPr="00F154F2">
        <w:t>gives all students an equal opportunity to succeed. This approach to teaching and learning offers flexible ways for students to access and engage with content and show what they know. UDL also looks for different ways to keep students motivated.</w:t>
      </w:r>
    </w:p>
    <w:p w14:paraId="4C12F1C3" w14:textId="4920041B" w:rsidR="00C45386" w:rsidRPr="00F154F2" w:rsidRDefault="009E16D1" w:rsidP="00F154F2">
      <w:pPr>
        <w:pStyle w:val="bullettedlist"/>
      </w:pPr>
      <w:r w:rsidRPr="00F154F2">
        <w:t>B</w:t>
      </w:r>
      <w:r w:rsidR="00C45386" w:rsidRPr="00F154F2">
        <w:t xml:space="preserve">arriers for students with and without disability </w:t>
      </w:r>
      <w:r w:rsidRPr="00F154F2">
        <w:t xml:space="preserve">can be addressed </w:t>
      </w:r>
      <w:r w:rsidR="00C45386" w:rsidRPr="00F154F2">
        <w:t>through a range of practical strategies that support accessible and inclusive learning.</w:t>
      </w:r>
    </w:p>
    <w:p w14:paraId="3E8B8083" w14:textId="5C6D2ACB" w:rsidR="00C45386" w:rsidRPr="00E554C0" w:rsidRDefault="00C45386" w:rsidP="00224D33">
      <w:pPr>
        <w:pStyle w:val="Heading2"/>
      </w:pPr>
      <w:r w:rsidRPr="00E554C0">
        <w:t xml:space="preserve">Practice </w:t>
      </w:r>
      <w:r w:rsidR="0002375E">
        <w:t>c</w:t>
      </w:r>
      <w:r w:rsidRPr="00E554C0">
        <w:t xml:space="preserve">onsiderations and </w:t>
      </w:r>
      <w:r w:rsidR="0002375E">
        <w:t>c</w:t>
      </w:r>
      <w:r w:rsidRPr="00E554C0">
        <w:t>heckpoints</w:t>
      </w:r>
    </w:p>
    <w:p w14:paraId="08CDF643" w14:textId="028431EB" w:rsidR="00C45386" w:rsidRPr="00E554C0" w:rsidRDefault="00C45386" w:rsidP="00C45386">
      <w:pPr>
        <w:rPr>
          <w:rFonts w:cs="Arial"/>
        </w:rPr>
      </w:pPr>
      <w:r w:rsidRPr="3FAF1EFE">
        <w:rPr>
          <w:rFonts w:cs="Arial"/>
        </w:rPr>
        <w:t xml:space="preserve">Start by reviewing which of the following practices </w:t>
      </w:r>
      <w:r w:rsidR="00CF141A" w:rsidRPr="3FAF1EFE">
        <w:rPr>
          <w:rFonts w:cs="Arial"/>
        </w:rPr>
        <w:t xml:space="preserve">are </w:t>
      </w:r>
      <w:r w:rsidRPr="3FAF1EFE">
        <w:rPr>
          <w:rFonts w:cs="Arial"/>
        </w:rPr>
        <w:t xml:space="preserve">currently </w:t>
      </w:r>
      <w:r w:rsidR="009E16D1" w:rsidRPr="3FAF1EFE">
        <w:rPr>
          <w:rFonts w:cs="Arial"/>
        </w:rPr>
        <w:t>used</w:t>
      </w:r>
      <w:r w:rsidR="00CF141A" w:rsidRPr="3FAF1EFE">
        <w:rPr>
          <w:rFonts w:cs="Arial"/>
        </w:rPr>
        <w:t>,</w:t>
      </w:r>
      <w:r w:rsidRPr="3FAF1EFE">
        <w:rPr>
          <w:rFonts w:cs="Arial"/>
        </w:rPr>
        <w:t xml:space="preserve"> </w:t>
      </w:r>
      <w:r w:rsidR="00CF141A" w:rsidRPr="3FAF1EFE">
        <w:rPr>
          <w:rFonts w:cs="Arial"/>
        </w:rPr>
        <w:t>t</w:t>
      </w:r>
      <w:r w:rsidRPr="3FAF1EFE">
        <w:rPr>
          <w:rFonts w:cs="Arial"/>
        </w:rPr>
        <w:t xml:space="preserve">hen select one or two at a time to introduce into practice. </w:t>
      </w:r>
      <w:r w:rsidR="0054760B" w:rsidRPr="3FAF1EFE">
        <w:rPr>
          <w:rFonts w:cs="Arial"/>
        </w:rPr>
        <w:t>You</w:t>
      </w:r>
      <w:r w:rsidRPr="3FAF1EFE">
        <w:rPr>
          <w:rFonts w:cs="Arial"/>
        </w:rPr>
        <w:t xml:space="preserve"> </w:t>
      </w:r>
      <w:r w:rsidR="009A6C48" w:rsidRPr="3FAF1EFE">
        <w:rPr>
          <w:rFonts w:cs="Arial"/>
        </w:rPr>
        <w:t>do not have to achieve</w:t>
      </w:r>
      <w:r w:rsidR="0054760B" w:rsidRPr="3FAF1EFE">
        <w:rPr>
          <w:rFonts w:cs="Arial"/>
        </w:rPr>
        <w:t xml:space="preserve"> </w:t>
      </w:r>
      <w:proofErr w:type="gramStart"/>
      <w:r w:rsidR="0054760B" w:rsidRPr="3FAF1EFE">
        <w:rPr>
          <w:rFonts w:cs="Arial"/>
        </w:rPr>
        <w:t xml:space="preserve">all </w:t>
      </w:r>
      <w:r w:rsidRPr="3FAF1EFE">
        <w:rPr>
          <w:rFonts w:cs="Arial"/>
        </w:rPr>
        <w:t>of</w:t>
      </w:r>
      <w:proofErr w:type="gramEnd"/>
      <w:r w:rsidRPr="3FAF1EFE">
        <w:rPr>
          <w:rFonts w:cs="Arial"/>
        </w:rPr>
        <w:t xml:space="preserve"> </w:t>
      </w:r>
      <w:r w:rsidR="0054760B" w:rsidRPr="3FAF1EFE">
        <w:rPr>
          <w:rFonts w:cs="Arial"/>
        </w:rPr>
        <w:t>the strategies</w:t>
      </w:r>
      <w:r w:rsidR="009A6C48" w:rsidRPr="3FAF1EFE">
        <w:rPr>
          <w:rFonts w:cs="Arial"/>
        </w:rPr>
        <w:t xml:space="preserve"> </w:t>
      </w:r>
      <w:r w:rsidRPr="3FAF1EFE">
        <w:rPr>
          <w:rFonts w:cs="Arial"/>
        </w:rPr>
        <w:t>at once. Take it one step at a time and keep building knowledge and skills.</w:t>
      </w:r>
    </w:p>
    <w:p w14:paraId="3012AE54" w14:textId="6163E0F5" w:rsidR="00712453" w:rsidRDefault="009A6C48" w:rsidP="00712453">
      <w:pPr>
        <w:rPr>
          <w:rFonts w:cs="Arial"/>
          <w:b/>
          <w:bCs/>
        </w:rPr>
      </w:pPr>
      <w:r w:rsidRPr="3FAF1EFE">
        <w:rPr>
          <w:rFonts w:cs="Arial"/>
        </w:rPr>
        <w:t>A</w:t>
      </w:r>
      <w:r w:rsidR="00C45386" w:rsidRPr="3FAF1EFE">
        <w:rPr>
          <w:rFonts w:cs="Arial"/>
        </w:rPr>
        <w:t xml:space="preserve">ccessibility and inclusiveness of delivery and assessment methodologies </w:t>
      </w:r>
      <w:r w:rsidRPr="3FAF1EFE">
        <w:rPr>
          <w:rFonts w:cs="Arial"/>
        </w:rPr>
        <w:t xml:space="preserve">can be improved </w:t>
      </w:r>
      <w:r w:rsidR="00FF66CD">
        <w:rPr>
          <w:rFonts w:cs="Arial"/>
        </w:rPr>
        <w:t>in the following ways:</w:t>
      </w:r>
      <w:r w:rsidR="00712453">
        <w:rPr>
          <w:rFonts w:cs="Arial"/>
          <w:b/>
          <w:bCs/>
        </w:rPr>
        <w:br w:type="page"/>
      </w:r>
    </w:p>
    <w:p w14:paraId="56EEFB96" w14:textId="64DA91A7" w:rsidR="00FF66CD" w:rsidRPr="002E2E73" w:rsidRDefault="00FF66CD" w:rsidP="00C45386">
      <w:pPr>
        <w:rPr>
          <w:rFonts w:cs="Arial"/>
          <w:b/>
          <w:bCs/>
        </w:rPr>
      </w:pPr>
      <w:r w:rsidRPr="002E2E73">
        <w:rPr>
          <w:rFonts w:cs="Arial"/>
          <w:b/>
          <w:bCs/>
        </w:rPr>
        <w:lastRenderedPageBreak/>
        <w:t>Before Class</w:t>
      </w:r>
    </w:p>
    <w:p w14:paraId="02B79F2D" w14:textId="77777777" w:rsidR="00FF66CD" w:rsidRDefault="00FF66CD" w:rsidP="0066663E">
      <w:pPr>
        <w:pStyle w:val="bullettedlist"/>
      </w:pPr>
      <w:r>
        <w:t>r</w:t>
      </w:r>
      <w:r w:rsidRPr="00E554C0">
        <w:t>eviewing the format of lectures, tutorials, study materials and assessments to determine and eliminate any potential barriers</w:t>
      </w:r>
    </w:p>
    <w:p w14:paraId="0872B125" w14:textId="77777777" w:rsidR="00FF66CD" w:rsidRDefault="00FF66CD" w:rsidP="0066663E">
      <w:pPr>
        <w:pStyle w:val="bullettedlist"/>
      </w:pPr>
      <w:r w:rsidRPr="00FF66CD">
        <w:t>ensuring all course materials,</w:t>
      </w:r>
      <w:r>
        <w:t xml:space="preserve"> </w:t>
      </w:r>
      <w:r w:rsidRPr="00FF66CD">
        <w:t>activities and assessments are</w:t>
      </w:r>
      <w:r>
        <w:t>:</w:t>
      </w:r>
    </w:p>
    <w:p w14:paraId="0F4BEF90" w14:textId="33029D00" w:rsidR="00FF66CD" w:rsidRPr="00FF66CD" w:rsidRDefault="00FF66CD" w:rsidP="00FF66CD">
      <w:pPr>
        <w:pStyle w:val="ListParagraph"/>
        <w:numPr>
          <w:ilvl w:val="1"/>
          <w:numId w:val="2"/>
        </w:numPr>
        <w:rPr>
          <w:rFonts w:cs="Arial"/>
        </w:rPr>
      </w:pPr>
      <w:r w:rsidRPr="00FF66CD">
        <w:rPr>
          <w:rFonts w:cs="Arial"/>
        </w:rPr>
        <w:t>accessible</w:t>
      </w:r>
    </w:p>
    <w:p w14:paraId="6F320DAC" w14:textId="2DD3E6B0" w:rsidR="00FF66CD" w:rsidRDefault="00FF66CD" w:rsidP="00FF66CD">
      <w:pPr>
        <w:pStyle w:val="ListParagraph"/>
        <w:numPr>
          <w:ilvl w:val="0"/>
          <w:numId w:val="3"/>
        </w:numPr>
        <w:rPr>
          <w:rFonts w:cs="Arial"/>
        </w:rPr>
      </w:pPr>
      <w:r w:rsidRPr="00D769B8">
        <w:rPr>
          <w:rFonts w:cs="Arial"/>
        </w:rPr>
        <w:t>provid</w:t>
      </w:r>
      <w:r>
        <w:rPr>
          <w:rFonts w:cs="Arial"/>
        </w:rPr>
        <w:t xml:space="preserve">ed </w:t>
      </w:r>
      <w:r w:rsidRPr="00D769B8">
        <w:rPr>
          <w:rFonts w:cs="Arial"/>
        </w:rPr>
        <w:t>in advance of the workshop/sessions</w:t>
      </w:r>
    </w:p>
    <w:p w14:paraId="6E437FAF" w14:textId="7E526D1C" w:rsidR="00FF66CD" w:rsidRDefault="00FF66CD" w:rsidP="00FF66CD">
      <w:pPr>
        <w:pStyle w:val="ListParagraph"/>
        <w:numPr>
          <w:ilvl w:val="0"/>
          <w:numId w:val="3"/>
        </w:numPr>
        <w:rPr>
          <w:rFonts w:cs="Arial"/>
        </w:rPr>
      </w:pPr>
      <w:r w:rsidRPr="00D769B8">
        <w:rPr>
          <w:rFonts w:cs="Arial"/>
        </w:rPr>
        <w:t>in a logical, straightforward manner</w:t>
      </w:r>
    </w:p>
    <w:p w14:paraId="2E8654B0" w14:textId="3B30C262" w:rsidR="00FF66CD" w:rsidRPr="00D769B8" w:rsidRDefault="00FF66CD" w:rsidP="00FF66CD">
      <w:pPr>
        <w:pStyle w:val="ListParagraph"/>
        <w:numPr>
          <w:ilvl w:val="0"/>
          <w:numId w:val="3"/>
        </w:numPr>
        <w:rPr>
          <w:rFonts w:cs="Arial"/>
        </w:rPr>
      </w:pPr>
      <w:r w:rsidRPr="00D769B8">
        <w:rPr>
          <w:rFonts w:cs="Arial"/>
        </w:rPr>
        <w:t>in an order that reflects its importance</w:t>
      </w:r>
    </w:p>
    <w:p w14:paraId="6A435F07" w14:textId="7522B51F" w:rsidR="00FF66CD" w:rsidRDefault="00FF66CD" w:rsidP="0066663E">
      <w:pPr>
        <w:pStyle w:val="bullettedlist"/>
      </w:pPr>
      <w:r w:rsidRPr="00FF66CD">
        <w:t>setting up activities in ways t</w:t>
      </w:r>
      <w:r>
        <w:t>o</w:t>
      </w:r>
      <w:r w:rsidRPr="00FF66CD">
        <w:t xml:space="preserve"> ensure everyone can participate</w:t>
      </w:r>
    </w:p>
    <w:p w14:paraId="654C3FAD" w14:textId="77777777" w:rsidR="00FF66CD" w:rsidRDefault="00FF66CD" w:rsidP="0066663E">
      <w:pPr>
        <w:pStyle w:val="bullettedlist"/>
      </w:pPr>
      <w:r w:rsidRPr="3FAF1EFE">
        <w:t>providing a variety of activities so students can show their strengths</w:t>
      </w:r>
    </w:p>
    <w:p w14:paraId="70EE20BA" w14:textId="7BAB4DE3" w:rsidR="00FF66CD" w:rsidRDefault="00FF66CD" w:rsidP="0066663E">
      <w:pPr>
        <w:pStyle w:val="bullettedlist"/>
      </w:pPr>
      <w:r>
        <w:t>c</w:t>
      </w:r>
      <w:r w:rsidRPr="00D769B8">
        <w:t>onsidering whether the class layout optimises student engagement and interaction</w:t>
      </w:r>
      <w:r>
        <w:t>;</w:t>
      </w:r>
      <w:r w:rsidRPr="00D769B8">
        <w:t xml:space="preserve"> considering how rearrangement of learning spaces may impact on people who have low vision or anxiety</w:t>
      </w:r>
      <w:r>
        <w:t xml:space="preserve"> or physical disability</w:t>
      </w:r>
    </w:p>
    <w:p w14:paraId="79999F05" w14:textId="77777777" w:rsidR="00FF66CD" w:rsidRPr="00D769B8" w:rsidRDefault="00FF66CD" w:rsidP="0066663E">
      <w:pPr>
        <w:pStyle w:val="bullettedlist"/>
      </w:pPr>
      <w:r>
        <w:t>a</w:t>
      </w:r>
      <w:r w:rsidRPr="00D769B8">
        <w:t>voiding unnecessary jargon and complexity</w:t>
      </w:r>
      <w:r>
        <w:t xml:space="preserve">; </w:t>
      </w:r>
      <w:r w:rsidRPr="00D769B8">
        <w:t xml:space="preserve">defining new terms and </w:t>
      </w:r>
      <w:r>
        <w:t xml:space="preserve">acronyms, </w:t>
      </w:r>
      <w:r w:rsidRPr="00D769B8">
        <w:t>or abbreviations</w:t>
      </w:r>
    </w:p>
    <w:p w14:paraId="14C3E352" w14:textId="05C67378" w:rsidR="00FF66CD" w:rsidRPr="002E2E73" w:rsidRDefault="00FF66CD" w:rsidP="00C45386">
      <w:pPr>
        <w:rPr>
          <w:rFonts w:cs="Arial"/>
          <w:b/>
          <w:bCs/>
        </w:rPr>
      </w:pPr>
      <w:r w:rsidRPr="002E2E73">
        <w:rPr>
          <w:rFonts w:cs="Arial"/>
          <w:b/>
          <w:bCs/>
        </w:rPr>
        <w:t>During Class</w:t>
      </w:r>
    </w:p>
    <w:p w14:paraId="07D5E317" w14:textId="2DADCF32" w:rsidR="00FF66CD" w:rsidRPr="00FF66CD" w:rsidRDefault="00FF66CD" w:rsidP="0066663E">
      <w:pPr>
        <w:pStyle w:val="bullettedlist"/>
      </w:pPr>
      <w:r w:rsidRPr="00FF66CD">
        <w:t>orientating students to all aspects of the learning environment (</w:t>
      </w:r>
      <w:r w:rsidR="004A7895" w:rsidRPr="00FF66CD">
        <w:t>e.g.,</w:t>
      </w:r>
      <w:r w:rsidRPr="00FF66CD">
        <w:t xml:space="preserve"> identify bathrooms, quiet spaces located nearby, exits and entry points, emergency procedures and evacuation points).</w:t>
      </w:r>
    </w:p>
    <w:p w14:paraId="0D406A23" w14:textId="534B422A" w:rsidR="00FF66CD" w:rsidRPr="00FF66CD" w:rsidRDefault="00FF66CD" w:rsidP="0066663E">
      <w:pPr>
        <w:pStyle w:val="bullettedlist"/>
      </w:pPr>
      <w:r w:rsidRPr="00FF66CD">
        <w:t>presenting content in ways that represent the diversity of students</w:t>
      </w:r>
    </w:p>
    <w:p w14:paraId="3499136A" w14:textId="6DF709AC" w:rsidR="00FF66CD" w:rsidRPr="00E554C0" w:rsidRDefault="00FF66CD" w:rsidP="0066663E">
      <w:pPr>
        <w:pStyle w:val="bullettedlist"/>
      </w:pPr>
      <w:r>
        <w:t>p</w:t>
      </w:r>
      <w:r w:rsidRPr="00E554C0">
        <w:t>roviding students with opportunities to demonstrate their knowledge, skills and understanding in a variety of ways (</w:t>
      </w:r>
      <w:r w:rsidR="004A7895" w:rsidRPr="00E554C0">
        <w:t>e.g.,</w:t>
      </w:r>
      <w:r w:rsidRPr="00E554C0">
        <w:t xml:space="preserve"> video, audio, visual, written, spoken)</w:t>
      </w:r>
    </w:p>
    <w:p w14:paraId="6F8A908A" w14:textId="5589B165" w:rsidR="00FF66CD" w:rsidRDefault="00FF66CD" w:rsidP="0066663E">
      <w:pPr>
        <w:pStyle w:val="bullettedlist"/>
      </w:pPr>
      <w:r>
        <w:t>i</w:t>
      </w:r>
      <w:r w:rsidRPr="00E554C0">
        <w:t>mplementing recommended adjustments to all aspects of delivery and assessment</w:t>
      </w:r>
    </w:p>
    <w:p w14:paraId="093623BF" w14:textId="49222FBC" w:rsidR="00FF66CD" w:rsidRPr="00FF66CD" w:rsidRDefault="00FF66CD" w:rsidP="0066663E">
      <w:pPr>
        <w:pStyle w:val="bullettedlist"/>
      </w:pPr>
      <w:r>
        <w:t xml:space="preserve">implementing </w:t>
      </w:r>
      <w:r w:rsidRPr="00E554C0">
        <w:t xml:space="preserve">strategies </w:t>
      </w:r>
      <w:r>
        <w:t xml:space="preserve">to </w:t>
      </w:r>
      <w:r w:rsidRPr="00E554C0">
        <w:t>encourag</w:t>
      </w:r>
      <w:r>
        <w:t>e</w:t>
      </w:r>
      <w:r w:rsidRPr="00E554C0">
        <w:t xml:space="preserve"> group work, discussion, interaction, peer support and self-help strategies</w:t>
      </w:r>
    </w:p>
    <w:p w14:paraId="4582E098" w14:textId="77777777" w:rsidR="00FF66CD" w:rsidRPr="00E554C0" w:rsidRDefault="00FF66CD" w:rsidP="0066663E">
      <w:pPr>
        <w:pStyle w:val="bullettedlist"/>
      </w:pPr>
      <w:r>
        <w:t>f</w:t>
      </w:r>
      <w:r w:rsidRPr="00E554C0">
        <w:t>acing students when speaking, including when using slides or writing on a board</w:t>
      </w:r>
      <w:r>
        <w:t>;</w:t>
      </w:r>
      <w:r w:rsidRPr="00E554C0">
        <w:t xml:space="preserve"> wearing a microphone to ensure everyone can hear what is being said</w:t>
      </w:r>
    </w:p>
    <w:p w14:paraId="48EF1104" w14:textId="77777777" w:rsidR="00FF66CD" w:rsidRPr="00E554C0" w:rsidRDefault="00FF66CD" w:rsidP="0066663E">
      <w:pPr>
        <w:pStyle w:val="bullettedlist"/>
      </w:pPr>
      <w:r>
        <w:t>e</w:t>
      </w:r>
      <w:r w:rsidRPr="00E554C0">
        <w:t>nsuring only one student speaks at a time during discussions</w:t>
      </w:r>
    </w:p>
    <w:p w14:paraId="166CB294" w14:textId="77777777" w:rsidR="00FF66CD" w:rsidRPr="00E554C0" w:rsidRDefault="00FF66CD" w:rsidP="0066663E">
      <w:pPr>
        <w:pStyle w:val="bullettedlist"/>
      </w:pPr>
      <w:r>
        <w:t>r</w:t>
      </w:r>
      <w:r w:rsidRPr="00E554C0">
        <w:t>epeating other students' questions and comments to ensure everyone hears their contribution</w:t>
      </w:r>
      <w:r>
        <w:t>;</w:t>
      </w:r>
      <w:r w:rsidRPr="00E554C0">
        <w:t xml:space="preserve"> being mindful of reliance on visual materials/content</w:t>
      </w:r>
    </w:p>
    <w:p w14:paraId="630B8F5C" w14:textId="77777777" w:rsidR="00FF66CD" w:rsidRPr="00E554C0" w:rsidRDefault="00FF66CD" w:rsidP="0066663E">
      <w:pPr>
        <w:pStyle w:val="bullettedlist"/>
      </w:pPr>
      <w:r>
        <w:t>g</w:t>
      </w:r>
      <w:r w:rsidRPr="00E554C0">
        <w:t>iving both oral and written instructions</w:t>
      </w:r>
    </w:p>
    <w:p w14:paraId="4D87B415" w14:textId="77777777" w:rsidR="00FF66CD" w:rsidRPr="00E554C0" w:rsidRDefault="00FF66CD" w:rsidP="0066663E">
      <w:pPr>
        <w:pStyle w:val="bullettedlist"/>
      </w:pPr>
      <w:r>
        <w:t>p</w:t>
      </w:r>
      <w:r w:rsidRPr="00E554C0">
        <w:t>acing delivery and checking in with students</w:t>
      </w:r>
    </w:p>
    <w:p w14:paraId="4F84C13E" w14:textId="77777777" w:rsidR="00FF66CD" w:rsidRPr="00E554C0" w:rsidRDefault="00FF66CD" w:rsidP="0066663E">
      <w:pPr>
        <w:pStyle w:val="bullettedlist"/>
      </w:pPr>
      <w:r>
        <w:t>i</w:t>
      </w:r>
      <w:r w:rsidRPr="00E554C0">
        <w:t>dentifying what students are expected to learn from a presentation, lecture, webinar, practical session or tutorial</w:t>
      </w:r>
    </w:p>
    <w:p w14:paraId="32F647A9" w14:textId="77777777" w:rsidR="00FF66CD" w:rsidRPr="00E554C0" w:rsidRDefault="00FF66CD" w:rsidP="0066663E">
      <w:pPr>
        <w:pStyle w:val="bullettedlist"/>
      </w:pPr>
      <w:r>
        <w:t>p</w:t>
      </w:r>
      <w:r w:rsidRPr="00E554C0">
        <w:t>roviding clear instruction and scaffolding activities until students understand the content/requirements and can work independently</w:t>
      </w:r>
    </w:p>
    <w:p w14:paraId="2D27EA99" w14:textId="77777777" w:rsidR="00FF66CD" w:rsidRPr="00E554C0" w:rsidRDefault="00FF66CD" w:rsidP="0066663E">
      <w:pPr>
        <w:pStyle w:val="bullettedlist"/>
      </w:pPr>
      <w:r>
        <w:t>e</w:t>
      </w:r>
      <w:r w:rsidRPr="00E554C0">
        <w:t xml:space="preserve">ncouraging </w:t>
      </w:r>
      <w:r>
        <w:t xml:space="preserve">and supporting </w:t>
      </w:r>
      <w:r w:rsidRPr="00E554C0">
        <w:t>students to take responsibility for manag</w:t>
      </w:r>
      <w:r>
        <w:t>ing</w:t>
      </w:r>
      <w:r w:rsidRPr="00E554C0">
        <w:t xml:space="preserve"> and track</w:t>
      </w:r>
      <w:r>
        <w:t>ing</w:t>
      </w:r>
      <w:r w:rsidRPr="00E554C0">
        <w:t xml:space="preserve"> their own learning and progress</w:t>
      </w:r>
    </w:p>
    <w:p w14:paraId="6F5FBF01" w14:textId="77777777" w:rsidR="00FF66CD" w:rsidRPr="00E554C0" w:rsidRDefault="00FF66CD" w:rsidP="0066663E">
      <w:pPr>
        <w:pStyle w:val="bullettedlist"/>
      </w:pPr>
      <w:r>
        <w:t>p</w:t>
      </w:r>
      <w:r w:rsidRPr="00E554C0">
        <w:t xml:space="preserve">roviding students </w:t>
      </w:r>
      <w:r>
        <w:t xml:space="preserve">with </w:t>
      </w:r>
      <w:r w:rsidRPr="00E554C0">
        <w:t xml:space="preserve">regular opportunities to </w:t>
      </w:r>
      <w:r>
        <w:t>put</w:t>
      </w:r>
      <w:r w:rsidRPr="00E554C0">
        <w:t xml:space="preserve"> their learning </w:t>
      </w:r>
      <w:r>
        <w:t xml:space="preserve">into practice </w:t>
      </w:r>
      <w:r w:rsidRPr="00E554C0">
        <w:t>by explaining examples or applications of theory using ‘real life’ examples</w:t>
      </w:r>
    </w:p>
    <w:p w14:paraId="6AE0E36A" w14:textId="2B86D3C3" w:rsidR="00FF66CD" w:rsidRPr="002E2E73" w:rsidRDefault="00FF66CD" w:rsidP="00C45386">
      <w:pPr>
        <w:rPr>
          <w:rFonts w:cs="Arial"/>
          <w:b/>
          <w:bCs/>
        </w:rPr>
      </w:pPr>
      <w:r w:rsidRPr="002E2E73">
        <w:rPr>
          <w:rFonts w:cs="Arial"/>
          <w:b/>
          <w:bCs/>
        </w:rPr>
        <w:t>After Class</w:t>
      </w:r>
    </w:p>
    <w:p w14:paraId="71DA70BA" w14:textId="016A1F8E" w:rsidR="00C45386" w:rsidRPr="002C73DE" w:rsidRDefault="00ED19F2" w:rsidP="002C73DE">
      <w:pPr>
        <w:pStyle w:val="bullettedlist"/>
      </w:pPr>
      <w:r>
        <w:t>p</w:t>
      </w:r>
      <w:r w:rsidR="00C45386" w:rsidRPr="00E554C0">
        <w:t>roviding explicit and regular feedback to students about how they are progressing</w:t>
      </w:r>
    </w:p>
    <w:p w14:paraId="4A62CD7B" w14:textId="2FF2EFA6" w:rsidR="00C45386" w:rsidRPr="00E554C0" w:rsidRDefault="001E025D" w:rsidP="00224D33">
      <w:pPr>
        <w:pStyle w:val="Heading2"/>
      </w:pPr>
      <w:r w:rsidRPr="001E025D">
        <w:lastRenderedPageBreak/>
        <w:t>Links to the relevant legislation and standards to meet RTO obligations</w:t>
      </w:r>
    </w:p>
    <w:p w14:paraId="277EBB1E" w14:textId="228662E4" w:rsidR="00856E33" w:rsidRPr="004E32DB" w:rsidRDefault="007D4C41" w:rsidP="00116734">
      <w:pPr>
        <w:spacing w:before="240"/>
        <w:rPr>
          <w:rStyle w:val="Hyperlink"/>
          <w:i w:val="0"/>
          <w:iCs/>
        </w:rPr>
      </w:pPr>
      <w:hyperlink r:id="rId11">
        <w:r w:rsidR="007B5EBC" w:rsidRPr="004E32DB">
          <w:rPr>
            <w:rStyle w:val="Hyperlink"/>
            <w:iCs/>
          </w:rPr>
          <w:t>Disability Discrimination Act 1992 (</w:t>
        </w:r>
        <w:proofErr w:type="spellStart"/>
        <w:r w:rsidR="007B5EBC" w:rsidRPr="004E32DB">
          <w:rPr>
            <w:rStyle w:val="Hyperlink"/>
            <w:iCs/>
          </w:rPr>
          <w:t>Cth</w:t>
        </w:r>
        <w:proofErr w:type="spellEnd"/>
        <w:r w:rsidR="007B5EBC" w:rsidRPr="004E32DB">
          <w:rPr>
            <w:rStyle w:val="Hyperlink"/>
            <w:iCs/>
          </w:rPr>
          <w:t>) (DDA)</w:t>
        </w:r>
      </w:hyperlink>
    </w:p>
    <w:p w14:paraId="43DD3EF9" w14:textId="77777777" w:rsidR="00856E33" w:rsidRPr="00E554C0" w:rsidRDefault="00856E33" w:rsidP="00856E33">
      <w:pPr>
        <w:rPr>
          <w:rFonts w:cs="Arial"/>
        </w:rPr>
      </w:pPr>
      <w:r w:rsidRPr="74E0D687">
        <w:rPr>
          <w:rFonts w:cs="Arial"/>
        </w:rPr>
        <w:t xml:space="preserve">The DDA makes it unlawful to discriminate against a person </w:t>
      </w:r>
      <w:proofErr w:type="gramStart"/>
      <w:r w:rsidRPr="74E0D687">
        <w:rPr>
          <w:rFonts w:cs="Arial"/>
        </w:rPr>
        <w:t>on the basis of</w:t>
      </w:r>
      <w:proofErr w:type="gramEnd"/>
      <w:r w:rsidRPr="74E0D687">
        <w:rPr>
          <w:rFonts w:cs="Arial"/>
        </w:rPr>
        <w:t xml:space="preserve"> disability in education.</w:t>
      </w:r>
    </w:p>
    <w:p w14:paraId="19C59E77" w14:textId="77777777" w:rsidR="00856E33" w:rsidRPr="004E32DB" w:rsidRDefault="007D4C41" w:rsidP="00856E33">
      <w:pPr>
        <w:spacing w:before="240"/>
        <w:rPr>
          <w:rStyle w:val="Hyperlink"/>
          <w:i w:val="0"/>
          <w:iCs/>
        </w:rPr>
      </w:pPr>
      <w:hyperlink r:id="rId12">
        <w:r w:rsidR="00856E33" w:rsidRPr="004E32DB">
          <w:rPr>
            <w:rStyle w:val="Hyperlink"/>
            <w:iCs/>
          </w:rPr>
          <w:t>Disability Standards for Education 2005 (</w:t>
        </w:r>
        <w:proofErr w:type="spellStart"/>
        <w:r w:rsidR="00856E33" w:rsidRPr="004E32DB">
          <w:rPr>
            <w:rStyle w:val="Hyperlink"/>
            <w:iCs/>
          </w:rPr>
          <w:t>Cth</w:t>
        </w:r>
        <w:proofErr w:type="spellEnd"/>
        <w:r w:rsidR="00856E33" w:rsidRPr="004E32DB">
          <w:rPr>
            <w:rStyle w:val="Hyperlink"/>
            <w:iCs/>
          </w:rPr>
          <w:t>) (</w:t>
        </w:r>
        <w:proofErr w:type="spellStart"/>
        <w:r w:rsidR="00856E33" w:rsidRPr="004E32DB">
          <w:rPr>
            <w:rStyle w:val="Hyperlink"/>
            <w:iCs/>
          </w:rPr>
          <w:t>DSE</w:t>
        </w:r>
        <w:proofErr w:type="spellEnd"/>
        <w:r w:rsidR="00856E33" w:rsidRPr="004E32DB">
          <w:rPr>
            <w:rStyle w:val="Hyperlink"/>
            <w:iCs/>
          </w:rPr>
          <w:t>)</w:t>
        </w:r>
      </w:hyperlink>
    </w:p>
    <w:p w14:paraId="4D5D040F" w14:textId="77777777" w:rsidR="00856E33" w:rsidRPr="00E554C0" w:rsidRDefault="00856E33" w:rsidP="00856E33">
      <w:pPr>
        <w:rPr>
          <w:rFonts w:cs="Arial"/>
        </w:rPr>
      </w:pPr>
      <w:r w:rsidRPr="00E554C0">
        <w:rPr>
          <w:rFonts w:cs="Arial"/>
          <w:b/>
          <w:bCs/>
        </w:rPr>
        <w:t>Standards for Participation – Part 5</w:t>
      </w:r>
      <w:r w:rsidRPr="00306799">
        <w:rPr>
          <w:rFonts w:cs="Arial"/>
        </w:rPr>
        <w:t>:</w:t>
      </w:r>
      <w:r>
        <w:rPr>
          <w:rFonts w:cs="Arial"/>
        </w:rPr>
        <w:t xml:space="preserve"> </w:t>
      </w:r>
      <w:r w:rsidRPr="00E554C0">
        <w:rPr>
          <w:rFonts w:cs="Arial"/>
        </w:rPr>
        <w:t>The education provider must take reasonable steps to ensure that the student is able to participate in the course or program provided by the educational institution, and use the facilities and services provided by it, on the same basis as a student without disability, and without experiencing discrimination.</w:t>
      </w:r>
    </w:p>
    <w:p w14:paraId="0471A292" w14:textId="77777777" w:rsidR="00856E33" w:rsidRPr="00E554C0" w:rsidRDefault="00856E33" w:rsidP="00856E33">
      <w:pPr>
        <w:rPr>
          <w:rFonts w:cs="Arial"/>
        </w:rPr>
      </w:pPr>
      <w:r w:rsidRPr="00E554C0">
        <w:rPr>
          <w:rFonts w:cs="Arial"/>
          <w:b/>
          <w:bCs/>
        </w:rPr>
        <w:t>Standards for curriculum development, accreditation and delivery – Part 6</w:t>
      </w:r>
      <w:r w:rsidRPr="00306799">
        <w:rPr>
          <w:rFonts w:cs="Arial"/>
        </w:rPr>
        <w:t>:</w:t>
      </w:r>
      <w:r>
        <w:rPr>
          <w:rFonts w:cs="Arial"/>
        </w:rPr>
        <w:t xml:space="preserve"> </w:t>
      </w:r>
      <w:r w:rsidRPr="00E554C0">
        <w:rPr>
          <w:rFonts w:cs="Arial"/>
        </w:rPr>
        <w:t>The education provider must take reasonable steps to ensure that the course or program is designed in such a way that the student is, or any student with</w:t>
      </w:r>
      <w:r>
        <w:rPr>
          <w:rFonts w:cs="Arial"/>
        </w:rPr>
        <w:t xml:space="preserve"> </w:t>
      </w:r>
      <w:r w:rsidRPr="00E554C0">
        <w:rPr>
          <w:rFonts w:cs="Arial"/>
        </w:rPr>
        <w:t>disability is, able to participate in the learning experiences (including the assessment and certification requirements) of the course or program, and any relevant supplementary course or program, on the same basis as a student without disability, and without experiencing discrimination.</w:t>
      </w:r>
    </w:p>
    <w:p w14:paraId="16767CD4" w14:textId="77777777" w:rsidR="00856E33" w:rsidRPr="00E554C0" w:rsidRDefault="00856E33" w:rsidP="00856E33">
      <w:pPr>
        <w:rPr>
          <w:rFonts w:cs="Arial"/>
        </w:rPr>
      </w:pPr>
      <w:r w:rsidRPr="00E554C0">
        <w:rPr>
          <w:rFonts w:cs="Arial"/>
          <w:b/>
          <w:bCs/>
        </w:rPr>
        <w:t xml:space="preserve">Standards for Student Support Services </w:t>
      </w:r>
      <w:r>
        <w:rPr>
          <w:rFonts w:cs="Arial"/>
          <w:b/>
          <w:bCs/>
        </w:rPr>
        <w:t>–</w:t>
      </w:r>
      <w:r w:rsidRPr="00E554C0">
        <w:rPr>
          <w:rFonts w:cs="Arial"/>
          <w:b/>
          <w:bCs/>
        </w:rPr>
        <w:t xml:space="preserve"> Part 7</w:t>
      </w:r>
      <w:r w:rsidRPr="00306799">
        <w:rPr>
          <w:rFonts w:cs="Arial"/>
        </w:rPr>
        <w:t>:</w:t>
      </w:r>
      <w:r>
        <w:rPr>
          <w:rFonts w:cs="Arial"/>
        </w:rPr>
        <w:t xml:space="preserve"> </w:t>
      </w:r>
      <w:r w:rsidRPr="00E554C0">
        <w:rPr>
          <w:rFonts w:cs="Arial"/>
        </w:rPr>
        <w:t xml:space="preserve">The education provider must take reasonable steps to ensure that the student is able to use support services used by the students of the institution in general on the same basis as a student without disability, and without experiencing discrimination. This includes having available internal and external services and supports, informing students of what is available, and </w:t>
      </w:r>
      <w:r>
        <w:rPr>
          <w:rFonts w:cs="Arial"/>
        </w:rPr>
        <w:t xml:space="preserve">providing </w:t>
      </w:r>
      <w:r w:rsidRPr="00E554C0">
        <w:rPr>
          <w:rFonts w:cs="Arial"/>
        </w:rPr>
        <w:t>access to specialised services and supports as necessary.</w:t>
      </w:r>
    </w:p>
    <w:p w14:paraId="5A9F96EC" w14:textId="77777777" w:rsidR="00856E33" w:rsidRPr="00E554C0" w:rsidRDefault="00856E33" w:rsidP="00856E33">
      <w:pPr>
        <w:rPr>
          <w:rFonts w:cs="Arial"/>
        </w:rPr>
      </w:pPr>
      <w:r w:rsidRPr="00E554C0">
        <w:rPr>
          <w:rFonts w:cs="Arial"/>
          <w:b/>
          <w:bCs/>
        </w:rPr>
        <w:t>Standards for harassment and victimisation – Part 8</w:t>
      </w:r>
      <w:r>
        <w:rPr>
          <w:rFonts w:cs="Arial"/>
        </w:rPr>
        <w:t>:</w:t>
      </w:r>
      <w:r w:rsidRPr="00E554C0">
        <w:rPr>
          <w:rFonts w:cs="Arial"/>
        </w:rPr>
        <w:t xml:space="preserve"> An education provider must develop and implement strategies and programs to prevent harassment or victimisation of a student with disability, or a student who has an associate with disability, in relation to the disability.</w:t>
      </w:r>
    </w:p>
    <w:p w14:paraId="695B9DD8" w14:textId="188C91EF" w:rsidR="00C45386" w:rsidRPr="004E32DB" w:rsidRDefault="007D4C41" w:rsidP="00667FAA">
      <w:pPr>
        <w:spacing w:before="240"/>
        <w:rPr>
          <w:rStyle w:val="Hyperlink"/>
          <w:i w:val="0"/>
          <w:iCs/>
        </w:rPr>
      </w:pPr>
      <w:hyperlink r:id="rId13">
        <w:r w:rsidR="00C45386" w:rsidRPr="004E32DB">
          <w:rPr>
            <w:rStyle w:val="Hyperlink"/>
            <w:iCs/>
          </w:rPr>
          <w:t>Standards for Registered Training Organisations (RTOs) 20</w:t>
        </w:r>
        <w:r w:rsidR="00D0675E" w:rsidRPr="004E32DB">
          <w:rPr>
            <w:rStyle w:val="Hyperlink"/>
            <w:iCs/>
          </w:rPr>
          <w:t>15 (</w:t>
        </w:r>
        <w:proofErr w:type="spellStart"/>
        <w:r w:rsidR="00D0675E" w:rsidRPr="004E32DB">
          <w:rPr>
            <w:rStyle w:val="Hyperlink"/>
            <w:iCs/>
          </w:rPr>
          <w:t>Cth</w:t>
        </w:r>
        <w:proofErr w:type="spellEnd"/>
        <w:r w:rsidR="00D0675E" w:rsidRPr="004E32DB">
          <w:rPr>
            <w:rStyle w:val="Hyperlink"/>
            <w:iCs/>
          </w:rPr>
          <w:t>)</w:t>
        </w:r>
      </w:hyperlink>
    </w:p>
    <w:p w14:paraId="347B8E05" w14:textId="2CC16FEF" w:rsidR="00C45386" w:rsidRPr="00E554C0" w:rsidRDefault="00C45386" w:rsidP="00C45386">
      <w:pPr>
        <w:rPr>
          <w:rFonts w:cs="Arial"/>
        </w:rPr>
      </w:pPr>
      <w:r w:rsidRPr="00E554C0">
        <w:rPr>
          <w:rFonts w:cs="Arial"/>
          <w:b/>
          <w:bCs/>
        </w:rPr>
        <w:t>Standard 1</w:t>
      </w:r>
      <w:r w:rsidRPr="00306799">
        <w:rPr>
          <w:rFonts w:cs="Arial"/>
        </w:rPr>
        <w:t>:</w:t>
      </w:r>
      <w:r w:rsidRPr="00E554C0">
        <w:rPr>
          <w:rFonts w:cs="Arial"/>
        </w:rPr>
        <w:t xml:space="preserve"> The RTO’s training and assessment strategies and practices are responsive to industry and learner needs and meet the requirements of training packages and VET accredited courses. </w:t>
      </w:r>
    </w:p>
    <w:p w14:paraId="03043042" w14:textId="791AF6D3" w:rsidR="00C45386" w:rsidRPr="00E554C0" w:rsidRDefault="00C45386" w:rsidP="00C45386">
      <w:pPr>
        <w:rPr>
          <w:rFonts w:cs="Arial"/>
        </w:rPr>
      </w:pPr>
      <w:r w:rsidRPr="00E554C0">
        <w:rPr>
          <w:rFonts w:cs="Arial"/>
          <w:b/>
          <w:bCs/>
        </w:rPr>
        <w:t>Standard 5</w:t>
      </w:r>
      <w:r w:rsidRPr="00306799">
        <w:rPr>
          <w:rFonts w:cs="Arial"/>
        </w:rPr>
        <w:t>:</w:t>
      </w:r>
      <w:r w:rsidRPr="00E554C0">
        <w:rPr>
          <w:rFonts w:cs="Arial"/>
        </w:rPr>
        <w:t xml:space="preserve"> Each learner is properly informed and protected. The RTO must ensure learners are adequately informed about the services they are to receive, their rights and obligations, and the RTO</w:t>
      </w:r>
      <w:r w:rsidR="009F4B3C" w:rsidRPr="00E554C0">
        <w:rPr>
          <w:rFonts w:cs="Arial"/>
        </w:rPr>
        <w:t>’</w:t>
      </w:r>
      <w:r w:rsidRPr="00E554C0">
        <w:rPr>
          <w:rFonts w:cs="Arial"/>
        </w:rPr>
        <w:t>s responsibilities under the RTO Standards.</w:t>
      </w:r>
    </w:p>
    <w:p w14:paraId="13D84EE9" w14:textId="41F5BF53" w:rsidR="00C45386" w:rsidRDefault="00C45386" w:rsidP="00C45386">
      <w:pPr>
        <w:rPr>
          <w:rFonts w:cs="Arial"/>
        </w:rPr>
      </w:pPr>
      <w:r w:rsidRPr="00E554C0">
        <w:rPr>
          <w:rFonts w:cs="Arial"/>
          <w:b/>
          <w:bCs/>
        </w:rPr>
        <w:t>Standard 6</w:t>
      </w:r>
      <w:r w:rsidRPr="00306799">
        <w:rPr>
          <w:rFonts w:cs="Arial"/>
        </w:rPr>
        <w:t>:</w:t>
      </w:r>
      <w:r w:rsidRPr="00E554C0">
        <w:rPr>
          <w:rFonts w:cs="Arial"/>
        </w:rPr>
        <w:t xml:space="preserve"> Complaints and appeals are recorded, acknowledged and dealt with, efficiently and effectively. RTOs must implement a transparent complaints and appeals policy that enables learners and clients to be informed of and to understand their rights and the RTO’s responsibilities under the Standards.</w:t>
      </w:r>
    </w:p>
    <w:p w14:paraId="225CC9C6" w14:textId="77777777" w:rsidR="006918AD" w:rsidRDefault="006918AD">
      <w:pPr>
        <w:spacing w:before="0" w:after="0"/>
        <w:rPr>
          <w:rFonts w:eastAsia="Arial" w:cs="Arial"/>
          <w:b/>
          <w:bCs/>
          <w:color w:val="000000" w:themeColor="text1"/>
          <w:lang w:eastAsia="en-AU"/>
        </w:rPr>
      </w:pPr>
      <w:r>
        <w:rPr>
          <w:rFonts w:eastAsia="Arial" w:cs="Arial"/>
          <w:b/>
          <w:bCs/>
          <w:color w:val="000000" w:themeColor="text1"/>
          <w:lang w:eastAsia="en-AU"/>
        </w:rPr>
        <w:br w:type="page"/>
      </w:r>
    </w:p>
    <w:p w14:paraId="3841DDA1" w14:textId="2BFCF557" w:rsidR="00D053D4" w:rsidRPr="00D053D4" w:rsidRDefault="00D053D4" w:rsidP="00D053D4">
      <w:pPr>
        <w:rPr>
          <w:rFonts w:cs="Arial"/>
        </w:rPr>
      </w:pPr>
      <w:r w:rsidRPr="4F30E6F1">
        <w:rPr>
          <w:rFonts w:eastAsia="Arial" w:cs="Arial"/>
          <w:b/>
          <w:bCs/>
          <w:color w:val="000000" w:themeColor="text1"/>
          <w:lang w:eastAsia="en-AU"/>
        </w:rPr>
        <w:lastRenderedPageBreak/>
        <w:t xml:space="preserve">Please </w:t>
      </w:r>
      <w:proofErr w:type="gramStart"/>
      <w:r w:rsidRPr="4F30E6F1">
        <w:rPr>
          <w:rFonts w:eastAsia="Arial" w:cs="Arial"/>
          <w:b/>
          <w:bCs/>
          <w:color w:val="000000" w:themeColor="text1"/>
          <w:lang w:eastAsia="en-AU"/>
        </w:rPr>
        <w:t>note:</w:t>
      </w:r>
      <w:proofErr w:type="gramEnd"/>
      <w:r w:rsidRPr="4F30E6F1">
        <w:rPr>
          <w:rFonts w:eastAsia="Arial" w:cs="Arial"/>
          <w:color w:val="000000" w:themeColor="text1"/>
          <w:lang w:eastAsia="en-AU"/>
        </w:rPr>
        <w:t xml:space="preserve"> </w:t>
      </w:r>
      <w:r w:rsidRPr="4F30E6F1">
        <w:rPr>
          <w:rFonts w:cs="Arial"/>
        </w:rPr>
        <w:t>R</w:t>
      </w:r>
      <w:r w:rsidR="7DA6160B" w:rsidRPr="4F30E6F1">
        <w:rPr>
          <w:rFonts w:cs="Arial"/>
        </w:rPr>
        <w:t>TOs</w:t>
      </w:r>
      <w:r w:rsidRPr="4F30E6F1">
        <w:rPr>
          <w:rFonts w:cs="Arial"/>
        </w:rPr>
        <w:t xml:space="preserve"> registered by the </w:t>
      </w:r>
      <w:r w:rsidRPr="006918AD">
        <w:rPr>
          <w:rFonts w:cs="Arial"/>
          <w:i/>
          <w:iCs/>
        </w:rPr>
        <w:t>Victorian Registration and Qualifications Authority</w:t>
      </w:r>
      <w:r w:rsidRPr="4F30E6F1">
        <w:rPr>
          <w:rFonts w:cs="Arial"/>
        </w:rPr>
        <w:t xml:space="preserve"> or the </w:t>
      </w:r>
      <w:r w:rsidRPr="00E860DD">
        <w:rPr>
          <w:rFonts w:cs="Arial"/>
          <w:i/>
          <w:iCs/>
        </w:rPr>
        <w:t>Training Accreditation Council Western Australia</w:t>
      </w:r>
      <w:r w:rsidRPr="4F30E6F1">
        <w:rPr>
          <w:rFonts w:cs="Arial"/>
        </w:rPr>
        <w:t xml:space="preserve"> may refer to the following websites for requirements specific to you.</w:t>
      </w:r>
    </w:p>
    <w:p w14:paraId="01F13D3F" w14:textId="5D795D33" w:rsidR="3A5AF732" w:rsidRDefault="007D4C41" w:rsidP="18E23054">
      <w:pPr>
        <w:rPr>
          <w:rFonts w:eastAsia="Arial" w:cs="Arial"/>
          <w:color w:val="000000" w:themeColor="text1"/>
        </w:rPr>
      </w:pPr>
      <w:hyperlink r:id="rId14">
        <w:r w:rsidR="3A5AF732" w:rsidRPr="18E23054">
          <w:rPr>
            <w:rStyle w:val="Hyperlink"/>
            <w:rFonts w:eastAsia="Arial" w:cs="Arial"/>
            <w:iCs/>
          </w:rPr>
          <w:t>Victorian Registration and Qualifications Authority</w:t>
        </w:r>
      </w:hyperlink>
    </w:p>
    <w:p w14:paraId="1B1E00BF" w14:textId="3ADBADFA" w:rsidR="3A5AF732" w:rsidRDefault="007D4C41" w:rsidP="18E23054">
      <w:pPr>
        <w:rPr>
          <w:rFonts w:eastAsia="Arial" w:cs="Arial"/>
          <w:color w:val="000000" w:themeColor="text1"/>
        </w:rPr>
      </w:pPr>
      <w:hyperlink r:id="rId15">
        <w:r w:rsidR="3A5AF732" w:rsidRPr="4F30E6F1">
          <w:rPr>
            <w:rStyle w:val="Hyperlink"/>
            <w:rFonts w:eastAsia="Arial" w:cs="Arial"/>
          </w:rPr>
          <w:t>Training Accreditation Council Western Australia</w:t>
        </w:r>
      </w:hyperlink>
    </w:p>
    <w:p w14:paraId="577CAD4A" w14:textId="77777777" w:rsidR="00C45386" w:rsidRPr="00E554C0" w:rsidRDefault="00C45386" w:rsidP="00224D33">
      <w:pPr>
        <w:pStyle w:val="Heading2"/>
      </w:pPr>
      <w:r w:rsidRPr="00E554C0">
        <w:t>Benefits</w:t>
      </w:r>
    </w:p>
    <w:p w14:paraId="50624C84" w14:textId="1F20868A" w:rsidR="00C45386" w:rsidRPr="00E554C0" w:rsidRDefault="356E89E8" w:rsidP="0066663E">
      <w:pPr>
        <w:pStyle w:val="bullettedlist"/>
      </w:pPr>
      <w:r w:rsidRPr="3FAF1EFE">
        <w:t>Student – students will</w:t>
      </w:r>
      <w:r w:rsidR="00C45386" w:rsidRPr="3FAF1EFE">
        <w:t xml:space="preserve"> have an</w:t>
      </w:r>
      <w:r w:rsidRPr="3FAF1EFE">
        <w:t xml:space="preserve"> engaging, supportive and inclusive learning environment</w:t>
      </w:r>
      <w:r w:rsidR="00C45386" w:rsidRPr="3FAF1EFE">
        <w:t>; this</w:t>
      </w:r>
      <w:r w:rsidRPr="3FAF1EFE">
        <w:t xml:space="preserve"> will allow them to fully participate and have their learning needs met</w:t>
      </w:r>
      <w:r w:rsidR="000B3B51">
        <w:t>.</w:t>
      </w:r>
    </w:p>
    <w:p w14:paraId="661E4548" w14:textId="4B0064B8" w:rsidR="00C45386" w:rsidRPr="00E554C0" w:rsidRDefault="6535750F" w:rsidP="0066663E">
      <w:pPr>
        <w:pStyle w:val="bullettedlist"/>
      </w:pPr>
      <w:r w:rsidRPr="3FAF1EFE">
        <w:t xml:space="preserve">Trainer and assessor </w:t>
      </w:r>
      <w:r w:rsidR="356E89E8" w:rsidRPr="3FAF1EFE">
        <w:t>– providing inclusive learning environments results in short</w:t>
      </w:r>
      <w:r w:rsidR="3CBB162A" w:rsidRPr="3FAF1EFE">
        <w:t>-term</w:t>
      </w:r>
      <w:r w:rsidR="356E89E8" w:rsidRPr="3FAF1EFE">
        <w:t xml:space="preserve"> and </w:t>
      </w:r>
      <w:r w:rsidR="7959AAB6" w:rsidRPr="3FAF1EFE">
        <w:t>long-term</w:t>
      </w:r>
      <w:r w:rsidR="356E89E8" w:rsidRPr="3FAF1EFE">
        <w:t xml:space="preserve"> benefits</w:t>
      </w:r>
      <w:r w:rsidR="00F86586" w:rsidRPr="3FAF1EFE">
        <w:t>; this includes</w:t>
      </w:r>
      <w:r w:rsidR="356E89E8" w:rsidRPr="3FAF1EFE">
        <w:t xml:space="preserve"> higher levels of student engagement</w:t>
      </w:r>
      <w:r w:rsidR="3CBB162A" w:rsidRPr="3FAF1EFE">
        <w:t>, g</w:t>
      </w:r>
      <w:r w:rsidR="356E89E8" w:rsidRPr="3FAF1EFE">
        <w:t xml:space="preserve">reater confidence </w:t>
      </w:r>
      <w:r w:rsidR="00F86586" w:rsidRPr="3FAF1EFE">
        <w:t>in your ability as a trainer and assessor</w:t>
      </w:r>
      <w:r w:rsidR="733C8B5E" w:rsidRPr="3FAF1EFE">
        <w:t>, a</w:t>
      </w:r>
      <w:r w:rsidR="59D8FD93" w:rsidRPr="3FAF1EFE">
        <w:t>nd</w:t>
      </w:r>
      <w:r w:rsidR="356E89E8" w:rsidRPr="3FAF1EFE">
        <w:t xml:space="preserve"> the breakdown of discriminatory beliefs and practices</w:t>
      </w:r>
      <w:r w:rsidR="000B3B51">
        <w:t>.</w:t>
      </w:r>
    </w:p>
    <w:p w14:paraId="17E830D8" w14:textId="79D49878" w:rsidR="00C45386" w:rsidRPr="00E554C0" w:rsidRDefault="356E89E8" w:rsidP="00224D33">
      <w:pPr>
        <w:pStyle w:val="bullettedlist"/>
      </w:pPr>
      <w:r w:rsidRPr="2673641C">
        <w:t>RTO – participation of students with disability in learning will increase, along with successful completion of their qualifications</w:t>
      </w:r>
      <w:r w:rsidR="000B3B51">
        <w:t>.</w:t>
      </w:r>
    </w:p>
    <w:p w14:paraId="394D7E68" w14:textId="7B7A585F" w:rsidR="00C45386" w:rsidRDefault="00C45386" w:rsidP="00224D33">
      <w:pPr>
        <w:pStyle w:val="Heading2"/>
        <w:rPr>
          <w:spacing w:val="-2"/>
        </w:rPr>
      </w:pPr>
      <w:r w:rsidRPr="00224D33">
        <w:t xml:space="preserve">Training </w:t>
      </w:r>
      <w:r w:rsidR="000279F3" w:rsidRPr="00224D33">
        <w:t>and</w:t>
      </w:r>
      <w:r w:rsidRPr="00224D33">
        <w:t xml:space="preserve"> </w:t>
      </w:r>
      <w:r w:rsidR="000279F3" w:rsidRPr="00224D33">
        <w:t>r</w:t>
      </w:r>
      <w:r w:rsidRPr="00224D33">
        <w:t>esources</w:t>
      </w:r>
    </w:p>
    <w:p w14:paraId="58EA9D89" w14:textId="694E46AE" w:rsidR="008A3761" w:rsidRPr="004E32DB" w:rsidRDefault="007D4C41" w:rsidP="00F73F60">
      <w:pPr>
        <w:pStyle w:val="bullettedlist"/>
        <w:rPr>
          <w:rStyle w:val="Hyperlink"/>
        </w:rPr>
      </w:pPr>
      <w:hyperlink r:id="rId16" w:history="1">
        <w:r w:rsidR="008A3761" w:rsidRPr="004E32DB">
          <w:rPr>
            <w:rStyle w:val="Hyperlink"/>
          </w:rPr>
          <w:t>Inclusive Teaching</w:t>
        </w:r>
        <w:r w:rsidR="00A3647D">
          <w:rPr>
            <w:rStyle w:val="Hyperlink"/>
          </w:rPr>
          <w:t xml:space="preserve"> </w:t>
        </w:r>
        <w:r w:rsidR="00FF66CD" w:rsidRPr="004E32DB">
          <w:rPr>
            <w:rStyle w:val="Hyperlink"/>
          </w:rPr>
          <w:t>-</w:t>
        </w:r>
        <w:r w:rsidR="008A3761" w:rsidRPr="004E32DB">
          <w:rPr>
            <w:rStyle w:val="Hyperlink"/>
          </w:rPr>
          <w:t xml:space="preserve"> </w:t>
        </w:r>
        <w:r w:rsidR="00F43741" w:rsidRPr="004E32DB">
          <w:rPr>
            <w:rStyle w:val="Hyperlink"/>
          </w:rPr>
          <w:t xml:space="preserve">Australian Disability Clearinghouse for Education and Training </w:t>
        </w:r>
        <w:r w:rsidR="001A1D65" w:rsidRPr="004E32DB">
          <w:rPr>
            <w:rStyle w:val="Hyperlink"/>
          </w:rPr>
          <w:t>(</w:t>
        </w:r>
        <w:r w:rsidR="008A3761" w:rsidRPr="004E32DB">
          <w:rPr>
            <w:rStyle w:val="Hyperlink"/>
          </w:rPr>
          <w:t>ADCET</w:t>
        </w:r>
        <w:r w:rsidR="00127013" w:rsidRPr="004E32DB">
          <w:rPr>
            <w:rStyle w:val="Hyperlink"/>
          </w:rPr>
          <w:t>)</w:t>
        </w:r>
      </w:hyperlink>
    </w:p>
    <w:p w14:paraId="6CF738D7" w14:textId="48E9F9F8" w:rsidR="00C45386" w:rsidRPr="004E32DB" w:rsidRDefault="008A3761" w:rsidP="00F73F60">
      <w:pPr>
        <w:pStyle w:val="bullettedlist"/>
        <w:rPr>
          <w:rStyle w:val="Hyperlink"/>
        </w:rPr>
      </w:pPr>
      <w:r w:rsidRPr="004E32DB">
        <w:rPr>
          <w:rStyle w:val="Hyperlink"/>
        </w:rPr>
        <w:fldChar w:fldCharType="begin"/>
      </w:r>
      <w:r w:rsidRPr="004E32DB">
        <w:rPr>
          <w:rStyle w:val="Hyperlink"/>
        </w:rPr>
        <w:instrText xml:space="preserve"> HYPERLINK "https://disabilityawareness.com.au/courses/program-2-vet-educators-supporting-students-with-disability/" </w:instrText>
      </w:r>
      <w:r w:rsidRPr="004E32DB">
        <w:rPr>
          <w:rStyle w:val="Hyperlink"/>
        </w:rPr>
      </w:r>
      <w:r w:rsidRPr="004E32DB">
        <w:rPr>
          <w:rStyle w:val="Hyperlink"/>
        </w:rPr>
        <w:fldChar w:fldCharType="separate"/>
      </w:r>
      <w:r w:rsidR="00C45386" w:rsidRPr="004E32DB">
        <w:rPr>
          <w:rStyle w:val="Hyperlink"/>
        </w:rPr>
        <w:t>VET Educators Supporting Students with Disability e</w:t>
      </w:r>
      <w:r w:rsidR="002C241D" w:rsidRPr="004E32DB">
        <w:rPr>
          <w:rStyle w:val="Hyperlink"/>
        </w:rPr>
        <w:t>-</w:t>
      </w:r>
      <w:r w:rsidR="00C45386" w:rsidRPr="004E32DB">
        <w:rPr>
          <w:rStyle w:val="Hyperlink"/>
        </w:rPr>
        <w:t>Learning Program</w:t>
      </w:r>
    </w:p>
    <w:p w14:paraId="051AEF1B" w14:textId="5C518E5D" w:rsidR="00223939" w:rsidRPr="004E32DB" w:rsidRDefault="008A3761" w:rsidP="00223939">
      <w:pPr>
        <w:pStyle w:val="bullettedlist"/>
        <w:rPr>
          <w:rStyle w:val="Hyperlink"/>
        </w:rPr>
      </w:pPr>
      <w:r w:rsidRPr="004E32DB">
        <w:rPr>
          <w:rStyle w:val="Hyperlink"/>
        </w:rPr>
        <w:fldChar w:fldCharType="end"/>
      </w:r>
      <w:hyperlink r:id="rId17" w:history="1">
        <w:r w:rsidR="00C45386" w:rsidRPr="004E32DB">
          <w:rPr>
            <w:rStyle w:val="Hyperlink"/>
          </w:rPr>
          <w:t>UDL in Tertiary Education e</w:t>
        </w:r>
        <w:r w:rsidR="0097200B" w:rsidRPr="004E32DB">
          <w:rPr>
            <w:rStyle w:val="Hyperlink"/>
          </w:rPr>
          <w:t>-</w:t>
        </w:r>
        <w:r w:rsidR="00C45386" w:rsidRPr="004E32DB">
          <w:rPr>
            <w:rStyle w:val="Hyperlink"/>
          </w:rPr>
          <w:t>Learning Program</w:t>
        </w:r>
      </w:hyperlink>
    </w:p>
    <w:p w14:paraId="02B7FEE3" w14:textId="21286FA0" w:rsidR="00C45386" w:rsidRPr="004E32DB" w:rsidRDefault="008A3761" w:rsidP="00223939">
      <w:pPr>
        <w:pStyle w:val="bullettedlist"/>
        <w:rPr>
          <w:rStyle w:val="Hyperlink"/>
        </w:rPr>
      </w:pPr>
      <w:r w:rsidRPr="004E32DB">
        <w:rPr>
          <w:rStyle w:val="Hyperlink"/>
        </w:rPr>
        <w:fldChar w:fldCharType="begin"/>
      </w:r>
      <w:r w:rsidR="00E22F0F" w:rsidRPr="004E32DB">
        <w:rPr>
          <w:rStyle w:val="Hyperlink"/>
        </w:rPr>
        <w:instrText>HYPERLINK "https://disabilityawareness.com.au/courses/online-guidelines-blind-or-vision-impaired/"</w:instrText>
      </w:r>
      <w:r w:rsidRPr="004E32DB">
        <w:rPr>
          <w:rStyle w:val="Hyperlink"/>
        </w:rPr>
      </w:r>
      <w:r w:rsidRPr="004E32DB">
        <w:rPr>
          <w:rStyle w:val="Hyperlink"/>
        </w:rPr>
        <w:fldChar w:fldCharType="separate"/>
      </w:r>
      <w:r w:rsidR="356E89E8" w:rsidRPr="004E32DB">
        <w:rPr>
          <w:rStyle w:val="Hyperlink"/>
        </w:rPr>
        <w:t>Online Access for Tertiary Students who are Blind or Vision Impaired e</w:t>
      </w:r>
      <w:r w:rsidR="00677C15" w:rsidRPr="004E32DB">
        <w:rPr>
          <w:rStyle w:val="Hyperlink"/>
        </w:rPr>
        <w:noBreakHyphen/>
      </w:r>
      <w:r w:rsidR="356E89E8" w:rsidRPr="004E32DB">
        <w:rPr>
          <w:rStyle w:val="Hyperlink"/>
        </w:rPr>
        <w:t>Learning Program</w:t>
      </w:r>
    </w:p>
    <w:p w14:paraId="67B9F0AD" w14:textId="1BD1436A" w:rsidR="00C45386" w:rsidRPr="004E32DB" w:rsidRDefault="008A3761" w:rsidP="00F73F60">
      <w:pPr>
        <w:pStyle w:val="bullettedlist"/>
        <w:rPr>
          <w:rStyle w:val="Hyperlink"/>
        </w:rPr>
      </w:pPr>
      <w:r w:rsidRPr="004E32DB">
        <w:rPr>
          <w:rStyle w:val="Hyperlink"/>
        </w:rPr>
        <w:fldChar w:fldCharType="end"/>
      </w:r>
      <w:r w:rsidRPr="004E32DB">
        <w:rPr>
          <w:rStyle w:val="Hyperlink"/>
        </w:rPr>
        <w:fldChar w:fldCharType="begin"/>
      </w:r>
      <w:r w:rsidR="00C21583" w:rsidRPr="004E32DB">
        <w:rPr>
          <w:rStyle w:val="Hyperlink"/>
        </w:rPr>
        <w:instrText>HYPERLINK "https://www.adcet.edu.au/resource/10843/guidelines-online-tertiary-access-for-students-and-staff-who-are-blind-or-vision-impaired"</w:instrText>
      </w:r>
      <w:r w:rsidRPr="004E32DB">
        <w:rPr>
          <w:rStyle w:val="Hyperlink"/>
        </w:rPr>
      </w:r>
      <w:r w:rsidRPr="004E32DB">
        <w:rPr>
          <w:rStyle w:val="Hyperlink"/>
        </w:rPr>
        <w:fldChar w:fldCharType="separate"/>
      </w:r>
      <w:r w:rsidR="00C45386" w:rsidRPr="004E32DB">
        <w:rPr>
          <w:rStyle w:val="Hyperlink"/>
        </w:rPr>
        <w:t>Guidelines: Online Tertiary Access for Students and Staff who are Blind or Vision Impaired</w:t>
      </w:r>
    </w:p>
    <w:p w14:paraId="0477BC75" w14:textId="0C2460BF" w:rsidR="00C45386" w:rsidRPr="004E32DB" w:rsidRDefault="008A3761" w:rsidP="00F73F60">
      <w:pPr>
        <w:pStyle w:val="bullettedlist"/>
        <w:rPr>
          <w:rStyle w:val="Hyperlink"/>
        </w:rPr>
      </w:pPr>
      <w:r w:rsidRPr="004E32DB">
        <w:rPr>
          <w:rStyle w:val="Hyperlink"/>
        </w:rPr>
        <w:fldChar w:fldCharType="end"/>
      </w:r>
      <w:hyperlink r:id="rId18" w:history="1">
        <w:r w:rsidR="00C45386" w:rsidRPr="004E32DB">
          <w:rPr>
            <w:rStyle w:val="Hyperlink"/>
          </w:rPr>
          <w:t>Guidelines – Supporting Deaf and Hard of Hearing Students Online</w:t>
        </w:r>
      </w:hyperlink>
      <w:r w:rsidR="00C45386" w:rsidRPr="004E32DB">
        <w:rPr>
          <w:rStyle w:val="Hyperlink"/>
        </w:rPr>
        <w:t xml:space="preserve"> </w:t>
      </w:r>
    </w:p>
    <w:p w14:paraId="4528CBFE" w14:textId="6AA02F0A" w:rsidR="008A3761" w:rsidRPr="004E32DB" w:rsidRDefault="007D4C41" w:rsidP="00F73F60">
      <w:pPr>
        <w:pStyle w:val="bullettedlist"/>
        <w:rPr>
          <w:rStyle w:val="Hyperlink"/>
        </w:rPr>
      </w:pPr>
      <w:hyperlink r:id="rId19" w:history="1">
        <w:r w:rsidR="00C45386" w:rsidRPr="004E32DB">
          <w:rPr>
            <w:rStyle w:val="Hyperlink"/>
          </w:rPr>
          <w:t xml:space="preserve">Working with an </w:t>
        </w:r>
        <w:proofErr w:type="spellStart"/>
        <w:r w:rsidR="00C45386" w:rsidRPr="004E32DB">
          <w:rPr>
            <w:rStyle w:val="Hyperlink"/>
          </w:rPr>
          <w:t>Auslan</w:t>
        </w:r>
        <w:proofErr w:type="spellEnd"/>
        <w:r w:rsidR="00C45386" w:rsidRPr="004E32DB">
          <w:rPr>
            <w:rStyle w:val="Hyperlink"/>
          </w:rPr>
          <w:t xml:space="preserve"> (Australian Sign Language) Interpreter</w:t>
        </w:r>
      </w:hyperlink>
    </w:p>
    <w:p w14:paraId="3F0F1B3A" w14:textId="63528B3F" w:rsidR="00C45386" w:rsidRPr="004E32DB" w:rsidRDefault="007D4C41" w:rsidP="00F73F60">
      <w:pPr>
        <w:pStyle w:val="bullettedlist"/>
        <w:rPr>
          <w:rStyle w:val="Hyperlink"/>
        </w:rPr>
      </w:pPr>
      <w:hyperlink r:id="rId20" w:history="1">
        <w:r w:rsidR="008A3761" w:rsidRPr="004E32DB">
          <w:rPr>
            <w:rStyle w:val="Hyperlink"/>
          </w:rPr>
          <w:t>Round Table G</w:t>
        </w:r>
        <w:r w:rsidR="00C45386" w:rsidRPr="004E32DB">
          <w:rPr>
            <w:rStyle w:val="Hyperlink"/>
          </w:rPr>
          <w:t>uidelines for Accessible Assessment for Student with Vision Impairment (2019)</w:t>
        </w:r>
      </w:hyperlink>
      <w:r w:rsidR="00C45386" w:rsidRPr="004E32DB">
        <w:rPr>
          <w:rStyle w:val="Hyperlink"/>
        </w:rPr>
        <w:t xml:space="preserve"> </w:t>
      </w:r>
    </w:p>
    <w:p w14:paraId="61452DCD" w14:textId="27D4C8CE" w:rsidR="00C45386" w:rsidRPr="004E32DB" w:rsidRDefault="007D4C41" w:rsidP="00F73F60">
      <w:pPr>
        <w:pStyle w:val="bullettedlist"/>
        <w:rPr>
          <w:rStyle w:val="Hyperlink"/>
        </w:rPr>
      </w:pPr>
      <w:hyperlink r:id="rId21" w:history="1">
        <w:r w:rsidR="00C45386" w:rsidRPr="004E32DB">
          <w:rPr>
            <w:rStyle w:val="Hyperlink"/>
          </w:rPr>
          <w:t xml:space="preserve">There’s </w:t>
        </w:r>
        <w:r w:rsidR="001913DE" w:rsidRPr="004E32DB">
          <w:rPr>
            <w:rStyle w:val="Hyperlink"/>
          </w:rPr>
          <w:t>M</w:t>
        </w:r>
        <w:r w:rsidR="00C45386" w:rsidRPr="004E32DB">
          <w:rPr>
            <w:rStyle w:val="Hyperlink"/>
          </w:rPr>
          <w:t xml:space="preserve">ore </w:t>
        </w:r>
        <w:r w:rsidR="00457ED9" w:rsidRPr="004E32DB">
          <w:rPr>
            <w:rStyle w:val="Hyperlink"/>
          </w:rPr>
          <w:t>T</w:t>
        </w:r>
        <w:r w:rsidR="00C45386" w:rsidRPr="004E32DB">
          <w:rPr>
            <w:rStyle w:val="Hyperlink"/>
          </w:rPr>
          <w:t xml:space="preserve">han </w:t>
        </w:r>
        <w:r w:rsidR="001913DE" w:rsidRPr="004E32DB">
          <w:rPr>
            <w:rStyle w:val="Hyperlink"/>
          </w:rPr>
          <w:t>O</w:t>
        </w:r>
        <w:r w:rsidR="00C45386" w:rsidRPr="004E32DB">
          <w:rPr>
            <w:rStyle w:val="Hyperlink"/>
          </w:rPr>
          <w:t xml:space="preserve">ne </w:t>
        </w:r>
        <w:r w:rsidR="001913DE" w:rsidRPr="004E32DB">
          <w:rPr>
            <w:rStyle w:val="Hyperlink"/>
          </w:rPr>
          <w:t>W</w:t>
        </w:r>
        <w:r w:rsidR="00C45386" w:rsidRPr="004E32DB">
          <w:rPr>
            <w:rStyle w:val="Hyperlink"/>
          </w:rPr>
          <w:t xml:space="preserve">ay to </w:t>
        </w:r>
        <w:r w:rsidR="001913DE" w:rsidRPr="004E32DB">
          <w:rPr>
            <w:rStyle w:val="Hyperlink"/>
          </w:rPr>
          <w:t>M</w:t>
        </w:r>
        <w:r w:rsidR="00C45386" w:rsidRPr="004E32DB">
          <w:rPr>
            <w:rStyle w:val="Hyperlink"/>
          </w:rPr>
          <w:t xml:space="preserve">ake </w:t>
        </w:r>
        <w:r w:rsidR="00457ED9" w:rsidRPr="004E32DB">
          <w:rPr>
            <w:rStyle w:val="Hyperlink"/>
          </w:rPr>
          <w:t>Y</w:t>
        </w:r>
        <w:r w:rsidR="00C45386" w:rsidRPr="004E32DB">
          <w:rPr>
            <w:rStyle w:val="Hyperlink"/>
          </w:rPr>
          <w:t xml:space="preserve">our </w:t>
        </w:r>
        <w:r w:rsidR="001913DE" w:rsidRPr="004E32DB">
          <w:rPr>
            <w:rStyle w:val="Hyperlink"/>
          </w:rPr>
          <w:t>C</w:t>
        </w:r>
        <w:r w:rsidR="00C45386" w:rsidRPr="004E32DB">
          <w:rPr>
            <w:rStyle w:val="Hyperlink"/>
          </w:rPr>
          <w:t xml:space="preserve">ontent </w:t>
        </w:r>
        <w:r w:rsidR="001913DE" w:rsidRPr="004E32DB">
          <w:rPr>
            <w:rStyle w:val="Hyperlink"/>
          </w:rPr>
          <w:t>A</w:t>
        </w:r>
        <w:r w:rsidR="00C45386" w:rsidRPr="004E32DB">
          <w:rPr>
            <w:rStyle w:val="Hyperlink"/>
          </w:rPr>
          <w:t xml:space="preserve">ccessible </w:t>
        </w:r>
        <w:r w:rsidR="006B2456" w:rsidRPr="004E32DB">
          <w:rPr>
            <w:rStyle w:val="Hyperlink"/>
          </w:rPr>
          <w:t>(</w:t>
        </w:r>
        <w:r w:rsidR="00C45386" w:rsidRPr="004E32DB">
          <w:rPr>
            <w:rStyle w:val="Hyperlink"/>
          </w:rPr>
          <w:t>ADCET</w:t>
        </w:r>
      </w:hyperlink>
      <w:r w:rsidR="006B2456" w:rsidRPr="004E32DB">
        <w:rPr>
          <w:rStyle w:val="Hyperlink"/>
        </w:rPr>
        <w:t>)</w:t>
      </w:r>
    </w:p>
    <w:p w14:paraId="3B23C29A" w14:textId="70B4D556" w:rsidR="008A3761" w:rsidRPr="004E32DB" w:rsidRDefault="007D4C41" w:rsidP="00F73F60">
      <w:pPr>
        <w:pStyle w:val="bullettedlist"/>
        <w:rPr>
          <w:rStyle w:val="Hyperlink"/>
        </w:rPr>
      </w:pPr>
      <w:hyperlink r:id="rId22" w:history="1">
        <w:r w:rsidR="00C45386" w:rsidRPr="004E32DB">
          <w:rPr>
            <w:rStyle w:val="Hyperlink"/>
          </w:rPr>
          <w:t xml:space="preserve">Creating Accessible Documents </w:t>
        </w:r>
        <w:r w:rsidR="006B2456" w:rsidRPr="004E32DB">
          <w:rPr>
            <w:rStyle w:val="Hyperlink"/>
          </w:rPr>
          <w:t>(</w:t>
        </w:r>
        <w:r w:rsidR="00C45386" w:rsidRPr="004E32DB">
          <w:rPr>
            <w:rStyle w:val="Hyperlink"/>
          </w:rPr>
          <w:t>ADCET</w:t>
        </w:r>
      </w:hyperlink>
      <w:r w:rsidR="006B2456" w:rsidRPr="004E32DB">
        <w:rPr>
          <w:rStyle w:val="Hyperlink"/>
        </w:rPr>
        <w:t>)</w:t>
      </w:r>
    </w:p>
    <w:p w14:paraId="65ED6503" w14:textId="329D19D2" w:rsidR="008A3761" w:rsidRPr="004E32DB" w:rsidRDefault="007D4C41" w:rsidP="00F73F60">
      <w:pPr>
        <w:pStyle w:val="bullettedlist"/>
        <w:rPr>
          <w:rStyle w:val="Hyperlink"/>
        </w:rPr>
      </w:pPr>
      <w:hyperlink r:id="rId23" w:history="1">
        <w:r w:rsidR="008A3761" w:rsidRPr="004E32DB">
          <w:rPr>
            <w:rStyle w:val="Hyperlink"/>
          </w:rPr>
          <w:t xml:space="preserve">UDL Resources </w:t>
        </w:r>
        <w:r w:rsidR="006B2456" w:rsidRPr="004E32DB">
          <w:rPr>
            <w:rStyle w:val="Hyperlink"/>
          </w:rPr>
          <w:t>(</w:t>
        </w:r>
        <w:r w:rsidR="008A3761" w:rsidRPr="004E32DB">
          <w:rPr>
            <w:rStyle w:val="Hyperlink"/>
          </w:rPr>
          <w:t>ADCET</w:t>
        </w:r>
        <w:r w:rsidR="006B2456" w:rsidRPr="004E32DB">
          <w:rPr>
            <w:rStyle w:val="Hyperlink"/>
          </w:rPr>
          <w:t>)</w:t>
        </w:r>
      </w:hyperlink>
    </w:p>
    <w:p w14:paraId="7BA0EF21" w14:textId="77777777" w:rsidR="00D00ED3" w:rsidRPr="00A06D38" w:rsidRDefault="00D00ED3" w:rsidP="00B2569C">
      <w:pPr>
        <w:pStyle w:val="Heading3"/>
        <w:keepNext w:val="0"/>
        <w:keepLines w:val="0"/>
        <w:spacing w:before="360"/>
        <w:rPr>
          <w:spacing w:val="-10"/>
          <w:kern w:val="28"/>
          <w:sz w:val="36"/>
          <w:szCs w:val="56"/>
          <w:lang w:eastAsia="en-AU"/>
        </w:rPr>
      </w:pPr>
      <w:r w:rsidRPr="00A06D38">
        <w:rPr>
          <w:spacing w:val="-10"/>
          <w:kern w:val="28"/>
          <w:sz w:val="36"/>
          <w:szCs w:val="56"/>
          <w:lang w:eastAsia="en-AU"/>
        </w:rPr>
        <w:t>Disclaimer</w:t>
      </w:r>
    </w:p>
    <w:p w14:paraId="6D49A2BF" w14:textId="77777777" w:rsidR="0062432F" w:rsidRPr="0062432F" w:rsidRDefault="0062432F" w:rsidP="0062432F">
      <w:pPr>
        <w:rPr>
          <w:rFonts w:eastAsia="DengXian"/>
          <w:lang w:eastAsia="en-AU"/>
        </w:rPr>
      </w:pPr>
      <w:r w:rsidRPr="0062432F">
        <w:rPr>
          <w:rFonts w:eastAsia="DengXian"/>
          <w:lang w:eastAsia="en-AU"/>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24" w:history="1">
        <w:r w:rsidRPr="0062432F">
          <w:rPr>
            <w:rFonts w:eastAsia="DengXian"/>
            <w:i/>
            <w:color w:val="0563C1"/>
            <w:u w:val="single"/>
            <w:lang w:eastAsia="en-AU"/>
          </w:rPr>
          <w:t>adcet.edu.au/vet/disclaimer</w:t>
        </w:r>
      </w:hyperlink>
      <w:r w:rsidRPr="0062432F">
        <w:rPr>
          <w:rFonts w:eastAsia="DengXian"/>
          <w:lang w:eastAsia="en-AU"/>
        </w:rPr>
        <w:t xml:space="preserve"> or by contacting </w:t>
      </w:r>
      <w:r w:rsidRPr="0062432F">
        <w:rPr>
          <w:rFonts w:eastAsia="DengXian"/>
          <w:i/>
          <w:color w:val="0563C1"/>
          <w:u w:val="single"/>
          <w:lang w:eastAsia="en-AU"/>
        </w:rPr>
        <w:t xml:space="preserve">the </w:t>
      </w:r>
      <w:hyperlink r:id="rId25" w:history="1">
        <w:r w:rsidRPr="0062432F">
          <w:rPr>
            <w:rFonts w:eastAsia="DengXian"/>
            <w:i/>
            <w:color w:val="0563C1"/>
            <w:u w:val="single"/>
            <w:lang w:eastAsia="en-AU"/>
          </w:rPr>
          <w:t>Department of Employment and Workplace Relations</w:t>
        </w:r>
      </w:hyperlink>
      <w:r w:rsidRPr="0062432F">
        <w:rPr>
          <w:rFonts w:eastAsia="DengXian"/>
          <w:lang w:eastAsia="en-AU"/>
        </w:rPr>
        <w:t>.</w:t>
      </w:r>
    </w:p>
    <w:p w14:paraId="2D0BDCD6" w14:textId="3CF55E04" w:rsidR="008A3761" w:rsidRDefault="0062432F" w:rsidP="0062432F">
      <w:r w:rsidRPr="0062432F">
        <w:rPr>
          <w:rFonts w:eastAsia="DengXian"/>
          <w:lang w:eastAsia="en-AU"/>
        </w:rPr>
        <w:lastRenderedPageBreak/>
        <w:t xml:space="preserve">This resource is funded by the Australian Government Department of Employment and Workplace Relations through the </w:t>
      </w:r>
      <w:hyperlink r:id="rId26" w:history="1">
        <w:r w:rsidRPr="0062432F">
          <w:rPr>
            <w:rStyle w:val="Hyperlink"/>
          </w:rPr>
          <w:t>Supporting</w:t>
        </w:r>
        <w:r w:rsidRPr="0062432F">
          <w:rPr>
            <w:rFonts w:eastAsia="DengXian"/>
            <w:i/>
            <w:color w:val="0563C1"/>
            <w:u w:val="single"/>
            <w:lang w:eastAsia="en-AU"/>
          </w:rPr>
          <w:t xml:space="preserve"> Students with Disability in VET project and is hosted by ADCET</w:t>
        </w:r>
      </w:hyperlink>
      <w:r w:rsidRPr="0062432F">
        <w:rPr>
          <w:rFonts w:eastAsia="DengXian"/>
          <w:lang w:eastAsia="en-AU"/>
        </w:rPr>
        <w:t>.</w:t>
      </w:r>
    </w:p>
    <w:sectPr w:rsidR="008A3761">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73483" w14:textId="77777777" w:rsidR="00BE5E00" w:rsidRDefault="00BE5E00" w:rsidP="00C45386">
      <w:r>
        <w:separator/>
      </w:r>
    </w:p>
  </w:endnote>
  <w:endnote w:type="continuationSeparator" w:id="0">
    <w:p w14:paraId="67110354" w14:textId="77777777" w:rsidR="00BE5E00" w:rsidRDefault="00BE5E00" w:rsidP="00C45386">
      <w:r>
        <w:continuationSeparator/>
      </w:r>
    </w:p>
  </w:endnote>
  <w:endnote w:type="continuationNotice" w:id="1">
    <w:p w14:paraId="731A3943" w14:textId="77777777" w:rsidR="00BE5E00" w:rsidRDefault="00BE5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559316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4109EAA" w14:textId="2E714B24" w:rsidR="00C45386" w:rsidRPr="00FA73B7" w:rsidRDefault="00FA73B7" w:rsidP="00F30169">
            <w:pPr>
              <w:pStyle w:val="Footer"/>
              <w:pBdr>
                <w:top w:val="single" w:sz="4" w:space="1" w:color="auto"/>
              </w:pBdr>
              <w:spacing w:before="0" w:after="0"/>
              <w:jc w:val="right"/>
              <w:rPr>
                <w:sz w:val="20"/>
                <w:szCs w:val="20"/>
              </w:rPr>
            </w:pPr>
            <w:r w:rsidRPr="00FA73B7">
              <w:rPr>
                <w:sz w:val="20"/>
                <w:szCs w:val="20"/>
              </w:rPr>
              <w:t>Practice Guide</w:t>
            </w:r>
            <w:r w:rsidR="005E0C89">
              <w:rPr>
                <w:sz w:val="20"/>
                <w:szCs w:val="20"/>
              </w:rPr>
              <w:t xml:space="preserve"> -</w:t>
            </w:r>
            <w:r w:rsidRPr="00FA73B7">
              <w:rPr>
                <w:sz w:val="20"/>
                <w:szCs w:val="20"/>
              </w:rPr>
              <w:t xml:space="preserve"> Curriculum </w:t>
            </w:r>
            <w:r w:rsidR="0062432F">
              <w:rPr>
                <w:sz w:val="20"/>
                <w:szCs w:val="20"/>
              </w:rPr>
              <w:t>-</w:t>
            </w:r>
            <w:r w:rsidRPr="00FA73B7">
              <w:rPr>
                <w:sz w:val="20"/>
                <w:szCs w:val="20"/>
              </w:rPr>
              <w:t xml:space="preserve"> Inclusive Training and Assessment </w:t>
            </w:r>
            <w:r w:rsidRPr="00FA73B7">
              <w:rPr>
                <w:sz w:val="20"/>
                <w:szCs w:val="20"/>
              </w:rPr>
              <w:tab/>
            </w:r>
            <w:r w:rsidRPr="00FA73B7">
              <w:rPr>
                <w:sz w:val="20"/>
                <w:szCs w:val="20"/>
              </w:rPr>
              <w:fldChar w:fldCharType="begin"/>
            </w:r>
            <w:r w:rsidRPr="00FA73B7">
              <w:rPr>
                <w:sz w:val="20"/>
                <w:szCs w:val="20"/>
              </w:rPr>
              <w:instrText xml:space="preserve"> PAGE   \* MERGEFORMAT </w:instrText>
            </w:r>
            <w:r w:rsidRPr="00FA73B7">
              <w:rPr>
                <w:sz w:val="20"/>
                <w:szCs w:val="20"/>
              </w:rPr>
              <w:fldChar w:fldCharType="separate"/>
            </w:r>
            <w:r w:rsidRPr="00FA73B7">
              <w:rPr>
                <w:noProof/>
                <w:sz w:val="20"/>
                <w:szCs w:val="20"/>
              </w:rPr>
              <w:t>1</w:t>
            </w:r>
            <w:r w:rsidRPr="00FA73B7">
              <w:rPr>
                <w:noProof/>
                <w:sz w:val="20"/>
                <w:szCs w:val="20"/>
              </w:rPr>
              <w:fldChar w:fldCharType="end"/>
            </w:r>
          </w:p>
        </w:sdtContent>
      </w:sdt>
    </w:sdtContent>
  </w:sdt>
  <w:p w14:paraId="6E48C4AF" w14:textId="58075807" w:rsidR="00C45386" w:rsidRPr="00FA73B7" w:rsidRDefault="00F30169" w:rsidP="00F30169">
    <w:pPr>
      <w:pStyle w:val="Footer"/>
      <w:pBdr>
        <w:top w:val="single" w:sz="4" w:space="1" w:color="auto"/>
      </w:pBdr>
      <w:spacing w:before="0" w:after="0"/>
      <w:rPr>
        <w:sz w:val="20"/>
        <w:szCs w:val="20"/>
      </w:rPr>
    </w:pPr>
    <w:r w:rsidRPr="0059053D">
      <w:rPr>
        <w:sz w:val="20"/>
        <w:szCs w:val="20"/>
      </w:rPr>
      <w:t>Supporting Students with Disability in VET</w:t>
    </w:r>
    <w:r w:rsidR="0062432F" w:rsidRPr="0062432F">
      <w:rPr>
        <w:sz w:val="20"/>
        <w:szCs w:val="20"/>
      </w:rPr>
      <w:t xml:space="preserve"> - </w:t>
    </w:r>
    <w:hyperlink r:id="rId1" w:history="1">
      <w:r w:rsidR="0062432F" w:rsidRPr="0062432F">
        <w:rPr>
          <w:rFonts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1BD04" w14:textId="77777777" w:rsidR="00BE5E00" w:rsidRDefault="00BE5E00" w:rsidP="00C45386">
      <w:r>
        <w:separator/>
      </w:r>
    </w:p>
  </w:footnote>
  <w:footnote w:type="continuationSeparator" w:id="0">
    <w:p w14:paraId="3BBBF57D" w14:textId="77777777" w:rsidR="00BE5E00" w:rsidRDefault="00BE5E00" w:rsidP="00C45386">
      <w:r>
        <w:continuationSeparator/>
      </w:r>
    </w:p>
  </w:footnote>
  <w:footnote w:type="continuationNotice" w:id="1">
    <w:p w14:paraId="181F8995" w14:textId="77777777" w:rsidR="00BE5E00" w:rsidRDefault="00BE5E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B4010"/>
    <w:multiLevelType w:val="hybridMultilevel"/>
    <w:tmpl w:val="AD90E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2D290E"/>
    <w:multiLevelType w:val="hybridMultilevel"/>
    <w:tmpl w:val="7374A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D232C"/>
    <w:multiLevelType w:val="hybridMultilevel"/>
    <w:tmpl w:val="0FB012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012365"/>
    <w:multiLevelType w:val="hybridMultilevel"/>
    <w:tmpl w:val="41420E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76361E6"/>
    <w:multiLevelType w:val="hybridMultilevel"/>
    <w:tmpl w:val="FAB4521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AB53AA0"/>
    <w:multiLevelType w:val="hybridMultilevel"/>
    <w:tmpl w:val="15D0290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57461161">
    <w:abstractNumId w:val="0"/>
  </w:num>
  <w:num w:numId="2" w16cid:durableId="2088724512">
    <w:abstractNumId w:val="4"/>
  </w:num>
  <w:num w:numId="3" w16cid:durableId="342320946">
    <w:abstractNumId w:val="7"/>
  </w:num>
  <w:num w:numId="4" w16cid:durableId="978804469">
    <w:abstractNumId w:val="1"/>
  </w:num>
  <w:num w:numId="5" w16cid:durableId="357512550">
    <w:abstractNumId w:val="3"/>
  </w:num>
  <w:num w:numId="6" w16cid:durableId="954554406">
    <w:abstractNumId w:val="3"/>
  </w:num>
  <w:num w:numId="7" w16cid:durableId="1399873">
    <w:abstractNumId w:val="6"/>
  </w:num>
  <w:num w:numId="8" w16cid:durableId="584147545">
    <w:abstractNumId w:val="3"/>
  </w:num>
  <w:num w:numId="9" w16cid:durableId="1919165752">
    <w:abstractNumId w:val="2"/>
  </w:num>
  <w:num w:numId="10" w16cid:durableId="482048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86"/>
    <w:rsid w:val="00002AA4"/>
    <w:rsid w:val="00003431"/>
    <w:rsid w:val="0002375E"/>
    <w:rsid w:val="000279F3"/>
    <w:rsid w:val="00045186"/>
    <w:rsid w:val="0006159E"/>
    <w:rsid w:val="000676AA"/>
    <w:rsid w:val="00083C1F"/>
    <w:rsid w:val="00095E92"/>
    <w:rsid w:val="000B3B51"/>
    <w:rsid w:val="000E7460"/>
    <w:rsid w:val="00115D08"/>
    <w:rsid w:val="00116734"/>
    <w:rsid w:val="00127013"/>
    <w:rsid w:val="00156EE3"/>
    <w:rsid w:val="001913DE"/>
    <w:rsid w:val="001A1D65"/>
    <w:rsid w:val="001D6414"/>
    <w:rsid w:val="001E025D"/>
    <w:rsid w:val="001E0B74"/>
    <w:rsid w:val="001F006E"/>
    <w:rsid w:val="00205184"/>
    <w:rsid w:val="00220897"/>
    <w:rsid w:val="00221259"/>
    <w:rsid w:val="002235AA"/>
    <w:rsid w:val="00223939"/>
    <w:rsid w:val="00224D33"/>
    <w:rsid w:val="00233230"/>
    <w:rsid w:val="00245002"/>
    <w:rsid w:val="00255409"/>
    <w:rsid w:val="00256FC6"/>
    <w:rsid w:val="00294966"/>
    <w:rsid w:val="002A49B3"/>
    <w:rsid w:val="002B26D2"/>
    <w:rsid w:val="002C0D11"/>
    <w:rsid w:val="002C241D"/>
    <w:rsid w:val="002C73DE"/>
    <w:rsid w:val="002E2C87"/>
    <w:rsid w:val="002E2E73"/>
    <w:rsid w:val="002F0B03"/>
    <w:rsid w:val="00306799"/>
    <w:rsid w:val="00310930"/>
    <w:rsid w:val="0031226D"/>
    <w:rsid w:val="00337DAD"/>
    <w:rsid w:val="00344D0B"/>
    <w:rsid w:val="00345536"/>
    <w:rsid w:val="003548D8"/>
    <w:rsid w:val="003571DD"/>
    <w:rsid w:val="00364882"/>
    <w:rsid w:val="00375496"/>
    <w:rsid w:val="00377153"/>
    <w:rsid w:val="00382A97"/>
    <w:rsid w:val="003A1851"/>
    <w:rsid w:val="003C5EE8"/>
    <w:rsid w:val="003D0534"/>
    <w:rsid w:val="003D50AA"/>
    <w:rsid w:val="003E2B7D"/>
    <w:rsid w:val="004006E0"/>
    <w:rsid w:val="00437163"/>
    <w:rsid w:val="004424A2"/>
    <w:rsid w:val="00452964"/>
    <w:rsid w:val="00457ED9"/>
    <w:rsid w:val="00476EB4"/>
    <w:rsid w:val="004A7895"/>
    <w:rsid w:val="004B3586"/>
    <w:rsid w:val="004D6933"/>
    <w:rsid w:val="004E0AD4"/>
    <w:rsid w:val="004E32DB"/>
    <w:rsid w:val="004F64EE"/>
    <w:rsid w:val="005005D5"/>
    <w:rsid w:val="00534712"/>
    <w:rsid w:val="0054146E"/>
    <w:rsid w:val="0054760B"/>
    <w:rsid w:val="00551E55"/>
    <w:rsid w:val="005612C2"/>
    <w:rsid w:val="005B4314"/>
    <w:rsid w:val="005E0C89"/>
    <w:rsid w:val="005F35E1"/>
    <w:rsid w:val="0061034B"/>
    <w:rsid w:val="0062432F"/>
    <w:rsid w:val="0066663E"/>
    <w:rsid w:val="00667FAA"/>
    <w:rsid w:val="00670F26"/>
    <w:rsid w:val="00677C15"/>
    <w:rsid w:val="00687215"/>
    <w:rsid w:val="006918AD"/>
    <w:rsid w:val="006B232B"/>
    <w:rsid w:val="006B2456"/>
    <w:rsid w:val="006C059F"/>
    <w:rsid w:val="006C78E4"/>
    <w:rsid w:val="006D490C"/>
    <w:rsid w:val="00712453"/>
    <w:rsid w:val="007179A2"/>
    <w:rsid w:val="00722ED6"/>
    <w:rsid w:val="007265E5"/>
    <w:rsid w:val="0073001D"/>
    <w:rsid w:val="00765D72"/>
    <w:rsid w:val="00794973"/>
    <w:rsid w:val="00795A5E"/>
    <w:rsid w:val="007A7A4C"/>
    <w:rsid w:val="007B5714"/>
    <w:rsid w:val="007B5EBC"/>
    <w:rsid w:val="007D4C41"/>
    <w:rsid w:val="007E23C1"/>
    <w:rsid w:val="007E517B"/>
    <w:rsid w:val="008145B0"/>
    <w:rsid w:val="008160E7"/>
    <w:rsid w:val="00856E33"/>
    <w:rsid w:val="008724C2"/>
    <w:rsid w:val="008A08FD"/>
    <w:rsid w:val="008A3761"/>
    <w:rsid w:val="008D1A1E"/>
    <w:rsid w:val="008D357C"/>
    <w:rsid w:val="00925470"/>
    <w:rsid w:val="00931147"/>
    <w:rsid w:val="0097200B"/>
    <w:rsid w:val="00997252"/>
    <w:rsid w:val="009A0595"/>
    <w:rsid w:val="009A6C48"/>
    <w:rsid w:val="009B05B4"/>
    <w:rsid w:val="009E16D1"/>
    <w:rsid w:val="009F4B3C"/>
    <w:rsid w:val="009F7C96"/>
    <w:rsid w:val="00A06D38"/>
    <w:rsid w:val="00A27B6C"/>
    <w:rsid w:val="00A3647D"/>
    <w:rsid w:val="00A43717"/>
    <w:rsid w:val="00A92CED"/>
    <w:rsid w:val="00AB0A4A"/>
    <w:rsid w:val="00AC4D85"/>
    <w:rsid w:val="00AE7A2E"/>
    <w:rsid w:val="00B057D3"/>
    <w:rsid w:val="00B11E33"/>
    <w:rsid w:val="00B12380"/>
    <w:rsid w:val="00B2569C"/>
    <w:rsid w:val="00B32E89"/>
    <w:rsid w:val="00B33516"/>
    <w:rsid w:val="00B459E1"/>
    <w:rsid w:val="00B504B1"/>
    <w:rsid w:val="00B53694"/>
    <w:rsid w:val="00B966D3"/>
    <w:rsid w:val="00BC7641"/>
    <w:rsid w:val="00BD2B5C"/>
    <w:rsid w:val="00BE5E00"/>
    <w:rsid w:val="00BF7F1E"/>
    <w:rsid w:val="00C21583"/>
    <w:rsid w:val="00C245D2"/>
    <w:rsid w:val="00C45386"/>
    <w:rsid w:val="00C750B4"/>
    <w:rsid w:val="00C83B4F"/>
    <w:rsid w:val="00CB7B2D"/>
    <w:rsid w:val="00CD5B45"/>
    <w:rsid w:val="00CE1ABD"/>
    <w:rsid w:val="00CF141A"/>
    <w:rsid w:val="00D00ED3"/>
    <w:rsid w:val="00D053D4"/>
    <w:rsid w:val="00D0675E"/>
    <w:rsid w:val="00D12857"/>
    <w:rsid w:val="00D338A0"/>
    <w:rsid w:val="00D63D32"/>
    <w:rsid w:val="00D651B4"/>
    <w:rsid w:val="00D7369C"/>
    <w:rsid w:val="00D75256"/>
    <w:rsid w:val="00D769B8"/>
    <w:rsid w:val="00DE70CC"/>
    <w:rsid w:val="00DF195F"/>
    <w:rsid w:val="00E019B2"/>
    <w:rsid w:val="00E15C05"/>
    <w:rsid w:val="00E22F0F"/>
    <w:rsid w:val="00E554C0"/>
    <w:rsid w:val="00E71088"/>
    <w:rsid w:val="00E860DD"/>
    <w:rsid w:val="00EB7DA1"/>
    <w:rsid w:val="00EC7352"/>
    <w:rsid w:val="00ED19F2"/>
    <w:rsid w:val="00EF485C"/>
    <w:rsid w:val="00F154F2"/>
    <w:rsid w:val="00F30169"/>
    <w:rsid w:val="00F4119C"/>
    <w:rsid w:val="00F43741"/>
    <w:rsid w:val="00F73F60"/>
    <w:rsid w:val="00F8448A"/>
    <w:rsid w:val="00F86586"/>
    <w:rsid w:val="00FA73B7"/>
    <w:rsid w:val="00FB422A"/>
    <w:rsid w:val="00FC0245"/>
    <w:rsid w:val="00FC5249"/>
    <w:rsid w:val="00FD570E"/>
    <w:rsid w:val="00FE2EB7"/>
    <w:rsid w:val="00FF4FA2"/>
    <w:rsid w:val="00FF66CD"/>
    <w:rsid w:val="01B53CA2"/>
    <w:rsid w:val="06F63706"/>
    <w:rsid w:val="1087B19E"/>
    <w:rsid w:val="10EC83FC"/>
    <w:rsid w:val="136399C6"/>
    <w:rsid w:val="13809EA4"/>
    <w:rsid w:val="149996B0"/>
    <w:rsid w:val="168FC86B"/>
    <w:rsid w:val="16EE4D1C"/>
    <w:rsid w:val="17D8D2AE"/>
    <w:rsid w:val="18B96811"/>
    <w:rsid w:val="18E23054"/>
    <w:rsid w:val="1A553872"/>
    <w:rsid w:val="1AB9E8D5"/>
    <w:rsid w:val="1CBE2738"/>
    <w:rsid w:val="1E754157"/>
    <w:rsid w:val="1F2B8850"/>
    <w:rsid w:val="20299630"/>
    <w:rsid w:val="221EA71C"/>
    <w:rsid w:val="22604A57"/>
    <w:rsid w:val="264BE121"/>
    <w:rsid w:val="2673641C"/>
    <w:rsid w:val="2B69C4E1"/>
    <w:rsid w:val="2D8720DA"/>
    <w:rsid w:val="2DCD9CA0"/>
    <w:rsid w:val="30DD8A0D"/>
    <w:rsid w:val="346CE5EF"/>
    <w:rsid w:val="356E89E8"/>
    <w:rsid w:val="35E8BC09"/>
    <w:rsid w:val="3688A979"/>
    <w:rsid w:val="385A73A9"/>
    <w:rsid w:val="39F38B6F"/>
    <w:rsid w:val="3A5AF732"/>
    <w:rsid w:val="3BFDDD94"/>
    <w:rsid w:val="3CBB162A"/>
    <w:rsid w:val="3CF7EAFD"/>
    <w:rsid w:val="3E93BB5E"/>
    <w:rsid w:val="3FAF1EFE"/>
    <w:rsid w:val="4F30E6F1"/>
    <w:rsid w:val="4F3B0B12"/>
    <w:rsid w:val="5774EA31"/>
    <w:rsid w:val="59D8FD93"/>
    <w:rsid w:val="5D807765"/>
    <w:rsid w:val="5E51799D"/>
    <w:rsid w:val="5E909970"/>
    <w:rsid w:val="600F0379"/>
    <w:rsid w:val="6349827A"/>
    <w:rsid w:val="6535750F"/>
    <w:rsid w:val="659812AC"/>
    <w:rsid w:val="6611CC92"/>
    <w:rsid w:val="67AD9CF3"/>
    <w:rsid w:val="69CA86BB"/>
    <w:rsid w:val="6DBF1A8F"/>
    <w:rsid w:val="6E1CDE77"/>
    <w:rsid w:val="6FD887A3"/>
    <w:rsid w:val="721FD736"/>
    <w:rsid w:val="733C8B5E"/>
    <w:rsid w:val="74E0D687"/>
    <w:rsid w:val="76B62C2D"/>
    <w:rsid w:val="7959AAB6"/>
    <w:rsid w:val="7B3B3807"/>
    <w:rsid w:val="7DA6160B"/>
    <w:rsid w:val="7EFF0704"/>
    <w:rsid w:val="7F2B03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EA57F"/>
  <w15:chartTrackingRefBased/>
  <w15:docId w15:val="{35C7D833-CCED-4E6A-8F09-2D19B56C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B74"/>
    <w:pPr>
      <w:spacing w:before="120" w:after="120"/>
    </w:pPr>
    <w:rPr>
      <w:rFonts w:ascii="Arial" w:eastAsiaTheme="minorEastAsia" w:hAnsi="Arial"/>
      <w:sz w:val="24"/>
      <w:szCs w:val="24"/>
    </w:rPr>
  </w:style>
  <w:style w:type="paragraph" w:styleId="Heading1">
    <w:name w:val="heading 1"/>
    <w:basedOn w:val="Title"/>
    <w:link w:val="Heading1Char"/>
    <w:uiPriority w:val="9"/>
    <w:qFormat/>
    <w:rsid w:val="0073001D"/>
    <w:pPr>
      <w:outlineLvl w:val="0"/>
    </w:pPr>
    <w:rPr>
      <w:lang w:eastAsia="en-AU"/>
    </w:rPr>
  </w:style>
  <w:style w:type="paragraph" w:styleId="Heading2">
    <w:name w:val="heading 2"/>
    <w:basedOn w:val="Normal"/>
    <w:link w:val="Heading2Char"/>
    <w:uiPriority w:val="9"/>
    <w:qFormat/>
    <w:rsid w:val="00224D33"/>
    <w:pPr>
      <w:spacing w:before="360" w:after="240"/>
      <w:outlineLvl w:val="1"/>
    </w:pPr>
    <w:rPr>
      <w:rFonts w:eastAsia="Times New Roman"/>
      <w:b/>
      <w:bCs/>
      <w:color w:val="2F5496" w:themeColor="accent1" w:themeShade="BF"/>
      <w:kern w:val="36"/>
      <w:sz w:val="36"/>
      <w:szCs w:val="48"/>
      <w:lang w:eastAsia="en-AU"/>
    </w:rPr>
  </w:style>
  <w:style w:type="paragraph" w:styleId="Heading3">
    <w:name w:val="heading 3"/>
    <w:basedOn w:val="Normal"/>
    <w:next w:val="Normal"/>
    <w:link w:val="Heading3Char"/>
    <w:uiPriority w:val="9"/>
    <w:unhideWhenUsed/>
    <w:qFormat/>
    <w:rsid w:val="00294966"/>
    <w:pPr>
      <w:keepNext/>
      <w:keepLines/>
      <w:spacing w:before="24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29496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386"/>
    <w:pPr>
      <w:ind w:left="720"/>
      <w:contextualSpacing/>
    </w:pPr>
  </w:style>
  <w:style w:type="paragraph" w:styleId="Header">
    <w:name w:val="header"/>
    <w:basedOn w:val="Normal"/>
    <w:link w:val="HeaderChar"/>
    <w:uiPriority w:val="99"/>
    <w:unhideWhenUsed/>
    <w:rsid w:val="00C45386"/>
    <w:pPr>
      <w:tabs>
        <w:tab w:val="center" w:pos="4513"/>
        <w:tab w:val="right" w:pos="9026"/>
      </w:tabs>
    </w:pPr>
  </w:style>
  <w:style w:type="character" w:customStyle="1" w:styleId="HeaderChar">
    <w:name w:val="Header Char"/>
    <w:basedOn w:val="DefaultParagraphFont"/>
    <w:link w:val="Header"/>
    <w:uiPriority w:val="99"/>
    <w:rsid w:val="00C45386"/>
  </w:style>
  <w:style w:type="paragraph" w:styleId="Footer">
    <w:name w:val="footer"/>
    <w:basedOn w:val="Normal"/>
    <w:link w:val="FooterChar"/>
    <w:uiPriority w:val="99"/>
    <w:unhideWhenUsed/>
    <w:rsid w:val="00C45386"/>
    <w:pPr>
      <w:tabs>
        <w:tab w:val="center" w:pos="4513"/>
        <w:tab w:val="right" w:pos="9026"/>
      </w:tabs>
    </w:pPr>
  </w:style>
  <w:style w:type="character" w:customStyle="1" w:styleId="FooterChar">
    <w:name w:val="Footer Char"/>
    <w:basedOn w:val="DefaultParagraphFont"/>
    <w:link w:val="Footer"/>
    <w:uiPriority w:val="99"/>
    <w:rsid w:val="00C45386"/>
  </w:style>
  <w:style w:type="character" w:customStyle="1" w:styleId="Heading1Char">
    <w:name w:val="Heading 1 Char"/>
    <w:basedOn w:val="DefaultParagraphFont"/>
    <w:link w:val="Heading1"/>
    <w:uiPriority w:val="9"/>
    <w:rsid w:val="0073001D"/>
    <w:rPr>
      <w:rFonts w:ascii="Arial" w:eastAsiaTheme="majorEastAsia" w:hAnsi="Arial" w:cstheme="majorBidi"/>
      <w:color w:val="2F5496" w:themeColor="accent1" w:themeShade="BF"/>
      <w:spacing w:val="-10"/>
      <w:kern w:val="28"/>
      <w:sz w:val="52"/>
      <w:szCs w:val="56"/>
      <w:lang w:eastAsia="en-AU"/>
    </w:rPr>
  </w:style>
  <w:style w:type="character" w:customStyle="1" w:styleId="Heading2Char">
    <w:name w:val="Heading 2 Char"/>
    <w:basedOn w:val="DefaultParagraphFont"/>
    <w:link w:val="Heading2"/>
    <w:uiPriority w:val="9"/>
    <w:rsid w:val="00224D33"/>
    <w:rPr>
      <w:rFonts w:ascii="Arial" w:hAnsi="Arial"/>
      <w:b/>
      <w:bCs/>
      <w:color w:val="2F5496" w:themeColor="accent1" w:themeShade="BF"/>
      <w:kern w:val="36"/>
      <w:sz w:val="36"/>
      <w:szCs w:val="48"/>
      <w:lang w:eastAsia="en-AU"/>
    </w:rPr>
  </w:style>
  <w:style w:type="character" w:styleId="Hyperlink">
    <w:name w:val="Hyperlink"/>
    <w:uiPriority w:val="99"/>
    <w:unhideWhenUsed/>
    <w:rsid w:val="0062432F"/>
    <w:rPr>
      <w:rFonts w:eastAsia="DengXian"/>
      <w:i/>
      <w:color w:val="0563C1"/>
      <w:u w:val="single"/>
      <w:lang w:eastAsia="en-AU"/>
    </w:rPr>
  </w:style>
  <w:style w:type="character" w:styleId="UnresolvedMention">
    <w:name w:val="Unresolved Mention"/>
    <w:basedOn w:val="DefaultParagraphFont"/>
    <w:uiPriority w:val="99"/>
    <w:semiHidden/>
    <w:unhideWhenUsed/>
    <w:rsid w:val="00C45386"/>
    <w:rPr>
      <w:color w:val="605E5C"/>
      <w:shd w:val="clear" w:color="auto" w:fill="E1DFDD"/>
    </w:rPr>
  </w:style>
  <w:style w:type="paragraph" w:styleId="Revision">
    <w:name w:val="Revision"/>
    <w:hidden/>
    <w:uiPriority w:val="99"/>
    <w:semiHidden/>
    <w:rsid w:val="009E16D1"/>
  </w:style>
  <w:style w:type="character" w:styleId="CommentReference">
    <w:name w:val="annotation reference"/>
    <w:basedOn w:val="DefaultParagraphFont"/>
    <w:uiPriority w:val="99"/>
    <w:semiHidden/>
    <w:unhideWhenUsed/>
    <w:rsid w:val="009E16D1"/>
    <w:rPr>
      <w:sz w:val="16"/>
      <w:szCs w:val="16"/>
    </w:rPr>
  </w:style>
  <w:style w:type="paragraph" w:styleId="CommentText">
    <w:name w:val="annotation text"/>
    <w:basedOn w:val="Normal"/>
    <w:link w:val="CommentTextChar"/>
    <w:uiPriority w:val="99"/>
    <w:semiHidden/>
    <w:unhideWhenUsed/>
    <w:rsid w:val="009E16D1"/>
    <w:rPr>
      <w:sz w:val="20"/>
      <w:szCs w:val="20"/>
    </w:rPr>
  </w:style>
  <w:style w:type="character" w:customStyle="1" w:styleId="CommentTextChar">
    <w:name w:val="Comment Text Char"/>
    <w:basedOn w:val="DefaultParagraphFont"/>
    <w:link w:val="CommentText"/>
    <w:uiPriority w:val="99"/>
    <w:semiHidden/>
    <w:rsid w:val="009E16D1"/>
    <w:rPr>
      <w:sz w:val="20"/>
      <w:szCs w:val="20"/>
    </w:rPr>
  </w:style>
  <w:style w:type="paragraph" w:styleId="CommentSubject">
    <w:name w:val="annotation subject"/>
    <w:basedOn w:val="CommentText"/>
    <w:next w:val="CommentText"/>
    <w:link w:val="CommentSubjectChar"/>
    <w:uiPriority w:val="99"/>
    <w:semiHidden/>
    <w:unhideWhenUsed/>
    <w:rsid w:val="009E16D1"/>
    <w:rPr>
      <w:b/>
      <w:bCs/>
    </w:rPr>
  </w:style>
  <w:style w:type="character" w:customStyle="1" w:styleId="CommentSubjectChar">
    <w:name w:val="Comment Subject Char"/>
    <w:basedOn w:val="CommentTextChar"/>
    <w:link w:val="CommentSubject"/>
    <w:uiPriority w:val="99"/>
    <w:semiHidden/>
    <w:rsid w:val="009E16D1"/>
    <w:rPr>
      <w:b/>
      <w:bCs/>
      <w:sz w:val="20"/>
      <w:szCs w:val="20"/>
    </w:rPr>
  </w:style>
  <w:style w:type="character" w:styleId="FollowedHyperlink">
    <w:name w:val="FollowedHyperlink"/>
    <w:basedOn w:val="DefaultParagraphFont"/>
    <w:uiPriority w:val="99"/>
    <w:semiHidden/>
    <w:unhideWhenUsed/>
    <w:rsid w:val="0097200B"/>
    <w:rPr>
      <w:color w:val="954F72" w:themeColor="followedHyperlink"/>
      <w:u w:val="single"/>
    </w:rPr>
  </w:style>
  <w:style w:type="paragraph" w:customStyle="1" w:styleId="indent">
    <w:name w:val="indent"/>
    <w:basedOn w:val="NormalWeb"/>
    <w:qFormat/>
    <w:rsid w:val="00294966"/>
    <w:pPr>
      <w:spacing w:after="100" w:afterAutospacing="1"/>
      <w:ind w:left="720"/>
    </w:pPr>
    <w:rPr>
      <w:rFonts w:cs="Arial"/>
      <w:i/>
      <w:iCs/>
    </w:rPr>
  </w:style>
  <w:style w:type="paragraph" w:styleId="NormalWeb">
    <w:name w:val="Normal (Web)"/>
    <w:basedOn w:val="Normal"/>
    <w:uiPriority w:val="99"/>
    <w:semiHidden/>
    <w:unhideWhenUsed/>
    <w:rsid w:val="00294966"/>
  </w:style>
  <w:style w:type="paragraph" w:customStyle="1" w:styleId="bullettedlist">
    <w:name w:val="bulletted list"/>
    <w:basedOn w:val="Normal"/>
    <w:qFormat/>
    <w:rsid w:val="00294966"/>
    <w:pPr>
      <w:numPr>
        <w:numId w:val="6"/>
      </w:numPr>
      <w:contextualSpacing/>
    </w:pPr>
    <w:rPr>
      <w:rFonts w:cs="Arial"/>
    </w:rPr>
  </w:style>
  <w:style w:type="character" w:customStyle="1" w:styleId="Heading3Char">
    <w:name w:val="Heading 3 Char"/>
    <w:basedOn w:val="DefaultParagraphFont"/>
    <w:link w:val="Heading3"/>
    <w:uiPriority w:val="9"/>
    <w:rsid w:val="00294966"/>
    <w:rPr>
      <w:rFonts w:ascii="Arial" w:eastAsiaTheme="majorEastAsia" w:hAnsi="Arial" w:cstheme="majorBidi"/>
      <w:color w:val="2F5496" w:themeColor="accent1" w:themeShade="BF"/>
      <w:sz w:val="28"/>
      <w:szCs w:val="24"/>
    </w:rPr>
  </w:style>
  <w:style w:type="character" w:customStyle="1" w:styleId="Heading4Char">
    <w:name w:val="Heading 4 Char"/>
    <w:basedOn w:val="DefaultParagraphFont"/>
    <w:link w:val="Heading4"/>
    <w:uiPriority w:val="9"/>
    <w:semiHidden/>
    <w:rsid w:val="00294966"/>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294966"/>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294966"/>
    <w:rPr>
      <w:rFonts w:ascii="Arial" w:eastAsiaTheme="majorEastAsia" w:hAnsi="Arial" w:cstheme="majorBidi"/>
      <w:color w:val="2F5496" w:themeColor="accent1" w:themeShade="BF"/>
      <w:spacing w:val="-10"/>
      <w:kern w:val="28"/>
      <w:sz w:val="52"/>
      <w:szCs w:val="56"/>
    </w:rPr>
  </w:style>
  <w:style w:type="character" w:styleId="Strong">
    <w:name w:val="Strong"/>
    <w:basedOn w:val="DefaultParagraphFont"/>
    <w:uiPriority w:val="22"/>
    <w:qFormat/>
    <w:rsid w:val="00294966"/>
    <w:rPr>
      <w:b/>
      <w:bCs/>
    </w:rPr>
  </w:style>
  <w:style w:type="character" w:styleId="Emphasis">
    <w:name w:val="Emphasis"/>
    <w:basedOn w:val="DefaultParagraphFont"/>
    <w:uiPriority w:val="20"/>
    <w:qFormat/>
    <w:rsid w:val="00294966"/>
    <w:rPr>
      <w:i/>
      <w:iCs/>
    </w:rPr>
  </w:style>
  <w:style w:type="paragraph" w:styleId="TOCHeading">
    <w:name w:val="TOC Heading"/>
    <w:basedOn w:val="Heading1"/>
    <w:next w:val="Normal"/>
    <w:uiPriority w:val="39"/>
    <w:semiHidden/>
    <w:unhideWhenUsed/>
    <w:qFormat/>
    <w:rsid w:val="00294966"/>
    <w:pPr>
      <w:keepNext/>
      <w:keepLines/>
      <w:spacing w:after="0" w:line="259" w:lineRule="auto"/>
      <w:outlineLvl w:val="9"/>
    </w:pPr>
    <w:rPr>
      <w:rFonts w:asciiTheme="majorHAnsi" w:hAnsiTheme="majorHAnsi"/>
      <w:b/>
      <w:bCs/>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024002">
      <w:bodyDiv w:val="1"/>
      <w:marLeft w:val="0"/>
      <w:marRight w:val="0"/>
      <w:marTop w:val="0"/>
      <w:marBottom w:val="0"/>
      <w:divBdr>
        <w:top w:val="none" w:sz="0" w:space="0" w:color="auto"/>
        <w:left w:val="none" w:sz="0" w:space="0" w:color="auto"/>
        <w:bottom w:val="none" w:sz="0" w:space="0" w:color="auto"/>
        <w:right w:val="none" w:sz="0" w:space="0" w:color="auto"/>
      </w:divBdr>
    </w:div>
    <w:div w:id="112053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4L01377/latest/text" TargetMode="External"/><Relationship Id="rId18" Type="http://schemas.openxmlformats.org/officeDocument/2006/relationships/hyperlink" Target="https://www.adcet.edu.au/resource/10475/guidelines-supporting-deaf-and-hard-of-hearing-students-online" TargetMode="External"/><Relationship Id="rId26" Type="http://schemas.openxmlformats.org/officeDocument/2006/relationships/hyperlink" Target="https://www.adcet.edu.au/vet" TargetMode="External"/><Relationship Id="rId3" Type="http://schemas.openxmlformats.org/officeDocument/2006/relationships/customXml" Target="../customXml/item3.xml"/><Relationship Id="rId21" Type="http://schemas.openxmlformats.org/officeDocument/2006/relationships/hyperlink" Target="https://www.adcet.edu.au/inclusive-teaching/accessible-content" TargetMode="External"/><Relationship Id="rId7" Type="http://schemas.openxmlformats.org/officeDocument/2006/relationships/settings" Target="settings.xml"/><Relationship Id="rId12" Type="http://schemas.openxmlformats.org/officeDocument/2006/relationships/hyperlink" Target="https://www.legislation.gov.au/Details/F2005L00767" TargetMode="External"/><Relationship Id="rId17" Type="http://schemas.openxmlformats.org/officeDocument/2006/relationships/hyperlink" Target="https://disabilityawareness.com.au/courses/universal-design-for-learning-in-tertiary-education" TargetMode="External"/><Relationship Id="rId25" Type="http://schemas.openxmlformats.org/officeDocument/2006/relationships/hyperlink" Target="https://www.dewr.gov.au/" TargetMode="External"/><Relationship Id="rId2" Type="http://schemas.openxmlformats.org/officeDocument/2006/relationships/customXml" Target="../customXml/item2.xml"/><Relationship Id="rId16" Type="http://schemas.openxmlformats.org/officeDocument/2006/relationships/hyperlink" Target="https://www.adcet.edu.au/inclusive-teaching" TargetMode="External"/><Relationship Id="rId20" Type="http://schemas.openxmlformats.org/officeDocument/2006/relationships/hyperlink" Target="https://printdisability.org/guidelines/guidelines-for-accessible-assessment-20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4A04426/latest/text" TargetMode="External"/><Relationship Id="rId24" Type="http://schemas.openxmlformats.org/officeDocument/2006/relationships/hyperlink" Target="https://www.adcet.edu.au/vet/disclaimer" TargetMode="External"/><Relationship Id="rId5" Type="http://schemas.openxmlformats.org/officeDocument/2006/relationships/numbering" Target="numbering.xml"/><Relationship Id="rId15" Type="http://schemas.openxmlformats.org/officeDocument/2006/relationships/hyperlink" Target="https://www.wa.gov.au/organisation/training-accreditation-council/training-accreditation-council-regulatory-framework" TargetMode="External"/><Relationship Id="rId23" Type="http://schemas.openxmlformats.org/officeDocument/2006/relationships/hyperlink" Target="https://www.adcet.edu.au/inclusive-teaching/universal-design-for-learning/udl-resourc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dcet.edu.au/resource/9692/working-with-an-auslan-australian-sign-language-interepre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rqa.vic.gov.au/VET/Pages/default.aspx" TargetMode="External"/><Relationship Id="rId22" Type="http://schemas.openxmlformats.org/officeDocument/2006/relationships/hyperlink" Target="https://www.adcet.edu.au/inclusive-teaching/accessible-document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36FF5-EBD4-4F45-A59D-FC5A8D89A987}">
  <ds:schemaRefs>
    <ds:schemaRef ds:uri="http://schemas.microsoft.com/sharepoint/v3/contenttype/forms"/>
  </ds:schemaRefs>
</ds:datastoreItem>
</file>

<file path=customXml/itemProps2.xml><?xml version="1.0" encoding="utf-8"?>
<ds:datastoreItem xmlns:ds="http://schemas.openxmlformats.org/officeDocument/2006/customXml" ds:itemID="{571AE9F4-6569-4140-8DB7-C19D80401873}">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3.xml><?xml version="1.0" encoding="utf-8"?>
<ds:datastoreItem xmlns:ds="http://schemas.openxmlformats.org/officeDocument/2006/customXml" ds:itemID="{BD9A68D6-D489-44BE-B097-E5DA3028A533}">
  <ds:schemaRefs>
    <ds:schemaRef ds:uri="http://schemas.openxmlformats.org/officeDocument/2006/bibliography"/>
  </ds:schemaRefs>
</ds:datastoreItem>
</file>

<file path=customXml/itemProps4.xml><?xml version="1.0" encoding="utf-8"?>
<ds:datastoreItem xmlns:ds="http://schemas.openxmlformats.org/officeDocument/2006/customXml" ds:itemID="{76C4CE0F-0550-4DE0-BF7B-7DA3D74EB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1686</Words>
  <Characters>9613</Characters>
  <Application>Microsoft Office Word</Application>
  <DocSecurity>0</DocSecurity>
  <Lines>80</Lines>
  <Paragraphs>22</Paragraphs>
  <ScaleCrop>false</ScaleCrop>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Cousins</dc:creator>
  <cp:keywords/>
  <dc:description/>
  <cp:lastModifiedBy>Kylie Geard</cp:lastModifiedBy>
  <cp:revision>63</cp:revision>
  <cp:lastPrinted>2022-09-16T00:25:00Z</cp:lastPrinted>
  <dcterms:created xsi:type="dcterms:W3CDTF">2023-06-06T23:44:00Z</dcterms:created>
  <dcterms:modified xsi:type="dcterms:W3CDTF">2024-08-05T05:26:00Z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2022-09-16T00:25:21Z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544dbb38-1751-41dc-adee-3195c76a1890</vt:lpwstr>
  </property>
  <property fmtid="{D5CDD505-2E9C-101B-9397-08002B2CF9AE}" pid="10" name="MSIP_Label_79d889eb-932f-4752-8739-64d25806ef64_ContentBits">
    <vt:lpwstr>0</vt:lpwstr>
  </property>
  <property fmtid="{D5CDD505-2E9C-101B-9397-08002B2CF9AE}" pid="11" name="Order">
    <vt:r8>51000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