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16CFB" w14:textId="77777777" w:rsidR="00807971" w:rsidRPr="005B12EE" w:rsidRDefault="1FC920B0" w:rsidP="00144EC3">
      <w:pPr>
        <w:pStyle w:val="Title"/>
        <w:spacing w:after="480"/>
        <w:contextualSpacing w:val="0"/>
      </w:pPr>
      <w:bookmarkStart w:id="0" w:name="_Toc137805463"/>
      <w:r w:rsidRPr="005B12EE">
        <w:t>Support</w:t>
      </w:r>
      <w:r w:rsidR="7584893B" w:rsidRPr="005B12EE">
        <w:t>ing</w:t>
      </w:r>
      <w:r w:rsidRPr="005B12EE">
        <w:t xml:space="preserve"> Students with Disability in V</w:t>
      </w:r>
      <w:r w:rsidR="005C2709" w:rsidRPr="005B12EE">
        <w:t>ocational Education and Training (V</w:t>
      </w:r>
      <w:r w:rsidRPr="005B12EE">
        <w:t>ET</w:t>
      </w:r>
      <w:r w:rsidR="005C2709" w:rsidRPr="005B12EE">
        <w:t>)</w:t>
      </w:r>
      <w:bookmarkEnd w:id="0"/>
    </w:p>
    <w:p w14:paraId="4F25F32F" w14:textId="4C8F3F33" w:rsidR="0086176C" w:rsidRPr="008B178E" w:rsidRDefault="1FC920B0" w:rsidP="008E516A">
      <w:pPr>
        <w:pStyle w:val="Title"/>
        <w:rPr>
          <w:rStyle w:val="Strong"/>
          <w:b w:val="0"/>
          <w:bCs w:val="0"/>
        </w:rPr>
      </w:pPr>
      <w:bookmarkStart w:id="1" w:name="_Toc137805464"/>
      <w:r w:rsidRPr="005B12EE">
        <w:t>Introductory Guide</w:t>
      </w:r>
      <w:bookmarkEnd w:id="1"/>
      <w:r w:rsidR="0086176C">
        <w:rPr>
          <w:rStyle w:val="Strong"/>
          <w:rFonts w:cs="Arial"/>
          <w:sz w:val="28"/>
          <w:szCs w:val="28"/>
        </w:rPr>
        <w:br w:type="page"/>
      </w:r>
    </w:p>
    <w:sdt>
      <w:sdtPr>
        <w:rPr>
          <w:rFonts w:ascii="Arial" w:eastAsiaTheme="minorEastAsia" w:hAnsi="Arial" w:cs="Times New Roman"/>
          <w:color w:val="auto"/>
          <w:sz w:val="24"/>
          <w:szCs w:val="24"/>
          <w:lang w:val="en-AU"/>
        </w:rPr>
        <w:id w:val="-967282084"/>
        <w:docPartObj>
          <w:docPartGallery w:val="Table of Contents"/>
          <w:docPartUnique/>
        </w:docPartObj>
      </w:sdtPr>
      <w:sdtEndPr>
        <w:rPr>
          <w:noProof/>
        </w:rPr>
      </w:sdtEndPr>
      <w:sdtContent>
        <w:p w14:paraId="20B30946" w14:textId="168B5756" w:rsidR="003F0616" w:rsidRDefault="003F0616" w:rsidP="00D80A63">
          <w:pPr>
            <w:pStyle w:val="TOCHeading"/>
            <w:spacing w:before="120" w:after="240"/>
          </w:pPr>
          <w:r w:rsidRPr="002464E3">
            <w:rPr>
              <w:rFonts w:ascii="Arial" w:hAnsi="Arial" w:cs="Arial"/>
              <w:spacing w:val="-10"/>
            </w:rPr>
            <w:t>Contents</w:t>
          </w:r>
        </w:p>
        <w:p w14:paraId="5C62156A" w14:textId="29DD877F" w:rsidR="00ED1674" w:rsidRDefault="00685FEF">
          <w:pPr>
            <w:pStyle w:val="TOC1"/>
            <w:rPr>
              <w:rFonts w:asciiTheme="minorHAnsi" w:hAnsiTheme="minorHAnsi" w:cstheme="minorBidi"/>
              <w:noProof/>
              <w:kern w:val="2"/>
              <w14:ligatures w14:val="standardContextual"/>
            </w:rPr>
          </w:pPr>
          <w:r>
            <w:fldChar w:fldCharType="begin"/>
          </w:r>
          <w:r>
            <w:instrText xml:space="preserve"> TOC \o "2-2" \h \z \t "Heading 1,1" </w:instrText>
          </w:r>
          <w:r>
            <w:fldChar w:fldCharType="separate"/>
          </w:r>
          <w:hyperlink w:anchor="_Toc173763655" w:history="1">
            <w:r w:rsidR="00ED1674" w:rsidRPr="007D39F6">
              <w:rPr>
                <w:rStyle w:val="Hyperlink"/>
                <w:noProof/>
              </w:rPr>
              <w:t>Introduction</w:t>
            </w:r>
            <w:r w:rsidR="00ED1674">
              <w:rPr>
                <w:noProof/>
                <w:webHidden/>
              </w:rPr>
              <w:tab/>
            </w:r>
            <w:r w:rsidR="00ED1674">
              <w:rPr>
                <w:noProof/>
                <w:webHidden/>
              </w:rPr>
              <w:fldChar w:fldCharType="begin"/>
            </w:r>
            <w:r w:rsidR="00ED1674">
              <w:rPr>
                <w:noProof/>
                <w:webHidden/>
              </w:rPr>
              <w:instrText xml:space="preserve"> PAGEREF _Toc173763655 \h </w:instrText>
            </w:r>
            <w:r w:rsidR="00ED1674">
              <w:rPr>
                <w:noProof/>
                <w:webHidden/>
              </w:rPr>
            </w:r>
            <w:r w:rsidR="00ED1674">
              <w:rPr>
                <w:noProof/>
                <w:webHidden/>
              </w:rPr>
              <w:fldChar w:fldCharType="separate"/>
            </w:r>
            <w:r w:rsidR="00ED1674">
              <w:rPr>
                <w:noProof/>
                <w:webHidden/>
              </w:rPr>
              <w:t>3</w:t>
            </w:r>
            <w:r w:rsidR="00ED1674">
              <w:rPr>
                <w:noProof/>
                <w:webHidden/>
              </w:rPr>
              <w:fldChar w:fldCharType="end"/>
            </w:r>
          </w:hyperlink>
        </w:p>
        <w:p w14:paraId="39DC6CA2" w14:textId="5EB7C41A" w:rsidR="00ED1674" w:rsidRDefault="00ED1674">
          <w:pPr>
            <w:pStyle w:val="TOC2"/>
            <w:tabs>
              <w:tab w:val="right" w:leader="dot" w:pos="9016"/>
            </w:tabs>
            <w:rPr>
              <w:rFonts w:asciiTheme="minorHAnsi" w:hAnsiTheme="minorHAnsi" w:cstheme="minorBidi"/>
              <w:noProof/>
              <w:kern w:val="2"/>
              <w14:ligatures w14:val="standardContextual"/>
            </w:rPr>
          </w:pPr>
          <w:hyperlink w:anchor="_Toc173763656" w:history="1">
            <w:r w:rsidRPr="007D39F6">
              <w:rPr>
                <w:rStyle w:val="Hyperlink"/>
                <w:noProof/>
              </w:rPr>
              <w:t>Access and equity in vocational education and training (VET)</w:t>
            </w:r>
            <w:r>
              <w:rPr>
                <w:noProof/>
                <w:webHidden/>
              </w:rPr>
              <w:tab/>
            </w:r>
            <w:r>
              <w:rPr>
                <w:noProof/>
                <w:webHidden/>
              </w:rPr>
              <w:fldChar w:fldCharType="begin"/>
            </w:r>
            <w:r>
              <w:rPr>
                <w:noProof/>
                <w:webHidden/>
              </w:rPr>
              <w:instrText xml:space="preserve"> PAGEREF _Toc173763656 \h </w:instrText>
            </w:r>
            <w:r>
              <w:rPr>
                <w:noProof/>
                <w:webHidden/>
              </w:rPr>
            </w:r>
            <w:r>
              <w:rPr>
                <w:noProof/>
                <w:webHidden/>
              </w:rPr>
              <w:fldChar w:fldCharType="separate"/>
            </w:r>
            <w:r>
              <w:rPr>
                <w:noProof/>
                <w:webHidden/>
              </w:rPr>
              <w:t>3</w:t>
            </w:r>
            <w:r>
              <w:rPr>
                <w:noProof/>
                <w:webHidden/>
              </w:rPr>
              <w:fldChar w:fldCharType="end"/>
            </w:r>
          </w:hyperlink>
        </w:p>
        <w:p w14:paraId="5840569F" w14:textId="184141D5" w:rsidR="00ED1674" w:rsidRDefault="00ED1674">
          <w:pPr>
            <w:pStyle w:val="TOC2"/>
            <w:tabs>
              <w:tab w:val="right" w:leader="dot" w:pos="9016"/>
            </w:tabs>
            <w:rPr>
              <w:rFonts w:asciiTheme="minorHAnsi" w:hAnsiTheme="minorHAnsi" w:cstheme="minorBidi"/>
              <w:noProof/>
              <w:kern w:val="2"/>
              <w14:ligatures w14:val="standardContextual"/>
            </w:rPr>
          </w:pPr>
          <w:hyperlink w:anchor="_Toc173763657" w:history="1">
            <w:r w:rsidRPr="007D39F6">
              <w:rPr>
                <w:rStyle w:val="Hyperlink"/>
                <w:noProof/>
              </w:rPr>
              <w:t>Access and equity principles</w:t>
            </w:r>
            <w:r>
              <w:rPr>
                <w:noProof/>
                <w:webHidden/>
              </w:rPr>
              <w:tab/>
            </w:r>
            <w:r>
              <w:rPr>
                <w:noProof/>
                <w:webHidden/>
              </w:rPr>
              <w:fldChar w:fldCharType="begin"/>
            </w:r>
            <w:r>
              <w:rPr>
                <w:noProof/>
                <w:webHidden/>
              </w:rPr>
              <w:instrText xml:space="preserve"> PAGEREF _Toc173763657 \h </w:instrText>
            </w:r>
            <w:r>
              <w:rPr>
                <w:noProof/>
                <w:webHidden/>
              </w:rPr>
            </w:r>
            <w:r>
              <w:rPr>
                <w:noProof/>
                <w:webHidden/>
              </w:rPr>
              <w:fldChar w:fldCharType="separate"/>
            </w:r>
            <w:r>
              <w:rPr>
                <w:noProof/>
                <w:webHidden/>
              </w:rPr>
              <w:t>3</w:t>
            </w:r>
            <w:r>
              <w:rPr>
                <w:noProof/>
                <w:webHidden/>
              </w:rPr>
              <w:fldChar w:fldCharType="end"/>
            </w:r>
          </w:hyperlink>
        </w:p>
        <w:p w14:paraId="3747EE73" w14:textId="6A28DFFD" w:rsidR="00ED1674" w:rsidRDefault="00ED1674">
          <w:pPr>
            <w:pStyle w:val="TOC2"/>
            <w:tabs>
              <w:tab w:val="right" w:leader="dot" w:pos="9016"/>
            </w:tabs>
            <w:rPr>
              <w:rFonts w:asciiTheme="minorHAnsi" w:hAnsiTheme="minorHAnsi" w:cstheme="minorBidi"/>
              <w:noProof/>
              <w:kern w:val="2"/>
              <w14:ligatures w14:val="standardContextual"/>
            </w:rPr>
          </w:pPr>
          <w:hyperlink w:anchor="_Toc173763658" w:history="1">
            <w:r w:rsidRPr="007D39F6">
              <w:rPr>
                <w:rStyle w:val="Hyperlink"/>
                <w:noProof/>
              </w:rPr>
              <w:t>Inclusive education practice</w:t>
            </w:r>
            <w:r>
              <w:rPr>
                <w:noProof/>
                <w:webHidden/>
              </w:rPr>
              <w:tab/>
            </w:r>
            <w:r>
              <w:rPr>
                <w:noProof/>
                <w:webHidden/>
              </w:rPr>
              <w:fldChar w:fldCharType="begin"/>
            </w:r>
            <w:r>
              <w:rPr>
                <w:noProof/>
                <w:webHidden/>
              </w:rPr>
              <w:instrText xml:space="preserve"> PAGEREF _Toc173763658 \h </w:instrText>
            </w:r>
            <w:r>
              <w:rPr>
                <w:noProof/>
                <w:webHidden/>
              </w:rPr>
            </w:r>
            <w:r>
              <w:rPr>
                <w:noProof/>
                <w:webHidden/>
              </w:rPr>
              <w:fldChar w:fldCharType="separate"/>
            </w:r>
            <w:r>
              <w:rPr>
                <w:noProof/>
                <w:webHidden/>
              </w:rPr>
              <w:t>3</w:t>
            </w:r>
            <w:r>
              <w:rPr>
                <w:noProof/>
                <w:webHidden/>
              </w:rPr>
              <w:fldChar w:fldCharType="end"/>
            </w:r>
          </w:hyperlink>
        </w:p>
        <w:p w14:paraId="5D937FB4" w14:textId="4702E65E" w:rsidR="00ED1674" w:rsidRDefault="00ED1674">
          <w:pPr>
            <w:pStyle w:val="TOC2"/>
            <w:tabs>
              <w:tab w:val="right" w:leader="dot" w:pos="9016"/>
            </w:tabs>
            <w:rPr>
              <w:rFonts w:asciiTheme="minorHAnsi" w:hAnsiTheme="minorHAnsi" w:cstheme="minorBidi"/>
              <w:noProof/>
              <w:kern w:val="2"/>
              <w14:ligatures w14:val="standardContextual"/>
            </w:rPr>
          </w:pPr>
          <w:hyperlink w:anchor="_Toc173763659" w:history="1">
            <w:r w:rsidRPr="007D39F6">
              <w:rPr>
                <w:rStyle w:val="Hyperlink"/>
                <w:noProof/>
              </w:rPr>
              <w:t>Accessibility, usability and UDL</w:t>
            </w:r>
            <w:r>
              <w:rPr>
                <w:noProof/>
                <w:webHidden/>
              </w:rPr>
              <w:tab/>
            </w:r>
            <w:r>
              <w:rPr>
                <w:noProof/>
                <w:webHidden/>
              </w:rPr>
              <w:fldChar w:fldCharType="begin"/>
            </w:r>
            <w:r>
              <w:rPr>
                <w:noProof/>
                <w:webHidden/>
              </w:rPr>
              <w:instrText xml:space="preserve"> PAGEREF _Toc173763659 \h </w:instrText>
            </w:r>
            <w:r>
              <w:rPr>
                <w:noProof/>
                <w:webHidden/>
              </w:rPr>
            </w:r>
            <w:r>
              <w:rPr>
                <w:noProof/>
                <w:webHidden/>
              </w:rPr>
              <w:fldChar w:fldCharType="separate"/>
            </w:r>
            <w:r>
              <w:rPr>
                <w:noProof/>
                <w:webHidden/>
              </w:rPr>
              <w:t>4</w:t>
            </w:r>
            <w:r>
              <w:rPr>
                <w:noProof/>
                <w:webHidden/>
              </w:rPr>
              <w:fldChar w:fldCharType="end"/>
            </w:r>
          </w:hyperlink>
        </w:p>
        <w:p w14:paraId="7E96F2A1" w14:textId="62105424" w:rsidR="00ED1674" w:rsidRDefault="00ED1674">
          <w:pPr>
            <w:pStyle w:val="TOC2"/>
            <w:tabs>
              <w:tab w:val="right" w:leader="dot" w:pos="9016"/>
            </w:tabs>
            <w:rPr>
              <w:rFonts w:asciiTheme="minorHAnsi" w:hAnsiTheme="minorHAnsi" w:cstheme="minorBidi"/>
              <w:noProof/>
              <w:kern w:val="2"/>
              <w14:ligatures w14:val="standardContextual"/>
            </w:rPr>
          </w:pPr>
          <w:hyperlink w:anchor="_Toc173763660" w:history="1">
            <w:r w:rsidRPr="007D39F6">
              <w:rPr>
                <w:rStyle w:val="Hyperlink"/>
                <w:noProof/>
              </w:rPr>
              <w:t>Inclusive educational practice and the rights of students with disability</w:t>
            </w:r>
            <w:r>
              <w:rPr>
                <w:noProof/>
                <w:webHidden/>
              </w:rPr>
              <w:tab/>
            </w:r>
            <w:r>
              <w:rPr>
                <w:noProof/>
                <w:webHidden/>
              </w:rPr>
              <w:fldChar w:fldCharType="begin"/>
            </w:r>
            <w:r>
              <w:rPr>
                <w:noProof/>
                <w:webHidden/>
              </w:rPr>
              <w:instrText xml:space="preserve"> PAGEREF _Toc173763660 \h </w:instrText>
            </w:r>
            <w:r>
              <w:rPr>
                <w:noProof/>
                <w:webHidden/>
              </w:rPr>
            </w:r>
            <w:r>
              <w:rPr>
                <w:noProof/>
                <w:webHidden/>
              </w:rPr>
              <w:fldChar w:fldCharType="separate"/>
            </w:r>
            <w:r>
              <w:rPr>
                <w:noProof/>
                <w:webHidden/>
              </w:rPr>
              <w:t>5</w:t>
            </w:r>
            <w:r>
              <w:rPr>
                <w:noProof/>
                <w:webHidden/>
              </w:rPr>
              <w:fldChar w:fldCharType="end"/>
            </w:r>
          </w:hyperlink>
        </w:p>
        <w:p w14:paraId="7FE70D4F" w14:textId="0558885E" w:rsidR="00ED1674" w:rsidRDefault="00ED1674">
          <w:pPr>
            <w:pStyle w:val="TOC1"/>
            <w:rPr>
              <w:rFonts w:asciiTheme="minorHAnsi" w:hAnsiTheme="minorHAnsi" w:cstheme="minorBidi"/>
              <w:noProof/>
              <w:kern w:val="2"/>
              <w14:ligatures w14:val="standardContextual"/>
            </w:rPr>
          </w:pPr>
          <w:hyperlink w:anchor="_Toc173763661" w:history="1">
            <w:r w:rsidRPr="007D39F6">
              <w:rPr>
                <w:rStyle w:val="Hyperlink"/>
                <w:noProof/>
              </w:rPr>
              <w:t>Supporting Students with Disability in VET Toolkit</w:t>
            </w:r>
            <w:r>
              <w:rPr>
                <w:noProof/>
                <w:webHidden/>
              </w:rPr>
              <w:tab/>
            </w:r>
            <w:r>
              <w:rPr>
                <w:noProof/>
                <w:webHidden/>
              </w:rPr>
              <w:fldChar w:fldCharType="begin"/>
            </w:r>
            <w:r>
              <w:rPr>
                <w:noProof/>
                <w:webHidden/>
              </w:rPr>
              <w:instrText xml:space="preserve"> PAGEREF _Toc173763661 \h </w:instrText>
            </w:r>
            <w:r>
              <w:rPr>
                <w:noProof/>
                <w:webHidden/>
              </w:rPr>
            </w:r>
            <w:r>
              <w:rPr>
                <w:noProof/>
                <w:webHidden/>
              </w:rPr>
              <w:fldChar w:fldCharType="separate"/>
            </w:r>
            <w:r>
              <w:rPr>
                <w:noProof/>
                <w:webHidden/>
              </w:rPr>
              <w:t>8</w:t>
            </w:r>
            <w:r>
              <w:rPr>
                <w:noProof/>
                <w:webHidden/>
              </w:rPr>
              <w:fldChar w:fldCharType="end"/>
            </w:r>
          </w:hyperlink>
        </w:p>
        <w:p w14:paraId="5DF69598" w14:textId="0D19304D" w:rsidR="00ED1674" w:rsidRDefault="00ED1674">
          <w:pPr>
            <w:pStyle w:val="TOC2"/>
            <w:tabs>
              <w:tab w:val="right" w:leader="dot" w:pos="9016"/>
            </w:tabs>
            <w:rPr>
              <w:rFonts w:asciiTheme="minorHAnsi" w:hAnsiTheme="minorHAnsi" w:cstheme="minorBidi"/>
              <w:noProof/>
              <w:kern w:val="2"/>
              <w14:ligatures w14:val="standardContextual"/>
            </w:rPr>
          </w:pPr>
          <w:hyperlink w:anchor="_Toc173763662" w:history="1">
            <w:r w:rsidRPr="007D39F6">
              <w:rPr>
                <w:rStyle w:val="Hyperlink"/>
                <w:noProof/>
              </w:rPr>
              <w:t>Toolkit resources</w:t>
            </w:r>
            <w:r>
              <w:rPr>
                <w:noProof/>
                <w:webHidden/>
              </w:rPr>
              <w:tab/>
            </w:r>
            <w:r>
              <w:rPr>
                <w:noProof/>
                <w:webHidden/>
              </w:rPr>
              <w:fldChar w:fldCharType="begin"/>
            </w:r>
            <w:r>
              <w:rPr>
                <w:noProof/>
                <w:webHidden/>
              </w:rPr>
              <w:instrText xml:space="preserve"> PAGEREF _Toc173763662 \h </w:instrText>
            </w:r>
            <w:r>
              <w:rPr>
                <w:noProof/>
                <w:webHidden/>
              </w:rPr>
            </w:r>
            <w:r>
              <w:rPr>
                <w:noProof/>
                <w:webHidden/>
              </w:rPr>
              <w:fldChar w:fldCharType="separate"/>
            </w:r>
            <w:r>
              <w:rPr>
                <w:noProof/>
                <w:webHidden/>
              </w:rPr>
              <w:t>8</w:t>
            </w:r>
            <w:r>
              <w:rPr>
                <w:noProof/>
                <w:webHidden/>
              </w:rPr>
              <w:fldChar w:fldCharType="end"/>
            </w:r>
          </w:hyperlink>
        </w:p>
        <w:p w14:paraId="57D5D8D6" w14:textId="0484461B" w:rsidR="00ED1674" w:rsidRDefault="00ED1674">
          <w:pPr>
            <w:pStyle w:val="TOC1"/>
            <w:rPr>
              <w:rFonts w:asciiTheme="minorHAnsi" w:hAnsiTheme="minorHAnsi" w:cstheme="minorBidi"/>
              <w:noProof/>
              <w:kern w:val="2"/>
              <w14:ligatures w14:val="standardContextual"/>
            </w:rPr>
          </w:pPr>
          <w:hyperlink w:anchor="_Toc173763663" w:history="1">
            <w:r w:rsidRPr="007D39F6">
              <w:rPr>
                <w:rStyle w:val="Hyperlink"/>
                <w:noProof/>
              </w:rPr>
              <w:t>Glossary</w:t>
            </w:r>
            <w:r>
              <w:rPr>
                <w:noProof/>
                <w:webHidden/>
              </w:rPr>
              <w:tab/>
            </w:r>
            <w:r>
              <w:rPr>
                <w:noProof/>
                <w:webHidden/>
              </w:rPr>
              <w:fldChar w:fldCharType="begin"/>
            </w:r>
            <w:r>
              <w:rPr>
                <w:noProof/>
                <w:webHidden/>
              </w:rPr>
              <w:instrText xml:space="preserve"> PAGEREF _Toc173763663 \h </w:instrText>
            </w:r>
            <w:r>
              <w:rPr>
                <w:noProof/>
                <w:webHidden/>
              </w:rPr>
            </w:r>
            <w:r>
              <w:rPr>
                <w:noProof/>
                <w:webHidden/>
              </w:rPr>
              <w:fldChar w:fldCharType="separate"/>
            </w:r>
            <w:r>
              <w:rPr>
                <w:noProof/>
                <w:webHidden/>
              </w:rPr>
              <w:t>10</w:t>
            </w:r>
            <w:r>
              <w:rPr>
                <w:noProof/>
                <w:webHidden/>
              </w:rPr>
              <w:fldChar w:fldCharType="end"/>
            </w:r>
          </w:hyperlink>
        </w:p>
        <w:p w14:paraId="41EC63CE" w14:textId="1D9AD9D4" w:rsidR="00ED1674" w:rsidRDefault="00ED1674">
          <w:pPr>
            <w:pStyle w:val="TOC1"/>
            <w:rPr>
              <w:rFonts w:asciiTheme="minorHAnsi" w:hAnsiTheme="minorHAnsi" w:cstheme="minorBidi"/>
              <w:noProof/>
              <w:kern w:val="2"/>
              <w14:ligatures w14:val="standardContextual"/>
            </w:rPr>
          </w:pPr>
          <w:hyperlink w:anchor="_Toc173763664" w:history="1">
            <w:r w:rsidRPr="007D39F6">
              <w:rPr>
                <w:rStyle w:val="Hyperlink"/>
                <w:noProof/>
              </w:rPr>
              <w:t>Resources guide</w:t>
            </w:r>
            <w:r>
              <w:rPr>
                <w:noProof/>
                <w:webHidden/>
              </w:rPr>
              <w:tab/>
            </w:r>
            <w:r>
              <w:rPr>
                <w:noProof/>
                <w:webHidden/>
              </w:rPr>
              <w:fldChar w:fldCharType="begin"/>
            </w:r>
            <w:r>
              <w:rPr>
                <w:noProof/>
                <w:webHidden/>
              </w:rPr>
              <w:instrText xml:space="preserve"> PAGEREF _Toc173763664 \h </w:instrText>
            </w:r>
            <w:r>
              <w:rPr>
                <w:noProof/>
                <w:webHidden/>
              </w:rPr>
            </w:r>
            <w:r>
              <w:rPr>
                <w:noProof/>
                <w:webHidden/>
              </w:rPr>
              <w:fldChar w:fldCharType="separate"/>
            </w:r>
            <w:r>
              <w:rPr>
                <w:noProof/>
                <w:webHidden/>
              </w:rPr>
              <w:t>12</w:t>
            </w:r>
            <w:r>
              <w:rPr>
                <w:noProof/>
                <w:webHidden/>
              </w:rPr>
              <w:fldChar w:fldCharType="end"/>
            </w:r>
          </w:hyperlink>
        </w:p>
        <w:p w14:paraId="24BDBC6A" w14:textId="1BA01DF8" w:rsidR="00ED1674" w:rsidRDefault="00ED1674">
          <w:pPr>
            <w:pStyle w:val="TOC2"/>
            <w:tabs>
              <w:tab w:val="right" w:leader="dot" w:pos="9016"/>
            </w:tabs>
            <w:rPr>
              <w:rFonts w:asciiTheme="minorHAnsi" w:hAnsiTheme="minorHAnsi" w:cstheme="minorBidi"/>
              <w:noProof/>
              <w:kern w:val="2"/>
              <w14:ligatures w14:val="standardContextual"/>
            </w:rPr>
          </w:pPr>
          <w:hyperlink w:anchor="_Toc173763665" w:history="1">
            <w:r w:rsidRPr="007D39F6">
              <w:rPr>
                <w:rStyle w:val="Hyperlink"/>
                <w:noProof/>
              </w:rPr>
              <w:t>Key references</w:t>
            </w:r>
            <w:r>
              <w:rPr>
                <w:noProof/>
                <w:webHidden/>
              </w:rPr>
              <w:tab/>
            </w:r>
            <w:r>
              <w:rPr>
                <w:noProof/>
                <w:webHidden/>
              </w:rPr>
              <w:fldChar w:fldCharType="begin"/>
            </w:r>
            <w:r>
              <w:rPr>
                <w:noProof/>
                <w:webHidden/>
              </w:rPr>
              <w:instrText xml:space="preserve"> PAGEREF _Toc173763665 \h </w:instrText>
            </w:r>
            <w:r>
              <w:rPr>
                <w:noProof/>
                <w:webHidden/>
              </w:rPr>
            </w:r>
            <w:r>
              <w:rPr>
                <w:noProof/>
                <w:webHidden/>
              </w:rPr>
              <w:fldChar w:fldCharType="separate"/>
            </w:r>
            <w:r>
              <w:rPr>
                <w:noProof/>
                <w:webHidden/>
              </w:rPr>
              <w:t>12</w:t>
            </w:r>
            <w:r>
              <w:rPr>
                <w:noProof/>
                <w:webHidden/>
              </w:rPr>
              <w:fldChar w:fldCharType="end"/>
            </w:r>
          </w:hyperlink>
        </w:p>
        <w:p w14:paraId="1DF1FB89" w14:textId="109B7A40" w:rsidR="00ED1674" w:rsidRDefault="00ED1674">
          <w:pPr>
            <w:pStyle w:val="TOC2"/>
            <w:tabs>
              <w:tab w:val="right" w:leader="dot" w:pos="9016"/>
            </w:tabs>
            <w:rPr>
              <w:rFonts w:asciiTheme="minorHAnsi" w:hAnsiTheme="minorHAnsi" w:cstheme="minorBidi"/>
              <w:noProof/>
              <w:kern w:val="2"/>
              <w14:ligatures w14:val="standardContextual"/>
            </w:rPr>
          </w:pPr>
          <w:hyperlink w:anchor="_Toc173763666" w:history="1">
            <w:r w:rsidRPr="007D39F6">
              <w:rPr>
                <w:rStyle w:val="Hyperlink"/>
                <w:noProof/>
              </w:rPr>
              <w:t>DSE fact sheets</w:t>
            </w:r>
            <w:r>
              <w:rPr>
                <w:noProof/>
                <w:webHidden/>
              </w:rPr>
              <w:tab/>
            </w:r>
            <w:r>
              <w:rPr>
                <w:noProof/>
                <w:webHidden/>
              </w:rPr>
              <w:fldChar w:fldCharType="begin"/>
            </w:r>
            <w:r>
              <w:rPr>
                <w:noProof/>
                <w:webHidden/>
              </w:rPr>
              <w:instrText xml:space="preserve"> PAGEREF _Toc173763666 \h </w:instrText>
            </w:r>
            <w:r>
              <w:rPr>
                <w:noProof/>
                <w:webHidden/>
              </w:rPr>
            </w:r>
            <w:r>
              <w:rPr>
                <w:noProof/>
                <w:webHidden/>
              </w:rPr>
              <w:fldChar w:fldCharType="separate"/>
            </w:r>
            <w:r>
              <w:rPr>
                <w:noProof/>
                <w:webHidden/>
              </w:rPr>
              <w:t>12</w:t>
            </w:r>
            <w:r>
              <w:rPr>
                <w:noProof/>
                <w:webHidden/>
              </w:rPr>
              <w:fldChar w:fldCharType="end"/>
            </w:r>
          </w:hyperlink>
        </w:p>
        <w:p w14:paraId="674B861E" w14:textId="50D10D88" w:rsidR="00ED1674" w:rsidRDefault="00ED1674">
          <w:pPr>
            <w:pStyle w:val="TOC2"/>
            <w:tabs>
              <w:tab w:val="right" w:leader="dot" w:pos="9016"/>
            </w:tabs>
            <w:rPr>
              <w:rFonts w:asciiTheme="minorHAnsi" w:hAnsiTheme="minorHAnsi" w:cstheme="minorBidi"/>
              <w:noProof/>
              <w:kern w:val="2"/>
              <w14:ligatures w14:val="standardContextual"/>
            </w:rPr>
          </w:pPr>
          <w:hyperlink w:anchor="_Toc173763667" w:history="1">
            <w:r w:rsidRPr="007D39F6">
              <w:rPr>
                <w:rStyle w:val="Hyperlink"/>
                <w:noProof/>
              </w:rPr>
              <w:t>Disability Awareness e-Learning platform</w:t>
            </w:r>
            <w:r>
              <w:rPr>
                <w:noProof/>
                <w:webHidden/>
              </w:rPr>
              <w:tab/>
            </w:r>
            <w:r>
              <w:rPr>
                <w:noProof/>
                <w:webHidden/>
              </w:rPr>
              <w:fldChar w:fldCharType="begin"/>
            </w:r>
            <w:r>
              <w:rPr>
                <w:noProof/>
                <w:webHidden/>
              </w:rPr>
              <w:instrText xml:space="preserve"> PAGEREF _Toc173763667 \h </w:instrText>
            </w:r>
            <w:r>
              <w:rPr>
                <w:noProof/>
                <w:webHidden/>
              </w:rPr>
            </w:r>
            <w:r>
              <w:rPr>
                <w:noProof/>
                <w:webHidden/>
              </w:rPr>
              <w:fldChar w:fldCharType="separate"/>
            </w:r>
            <w:r>
              <w:rPr>
                <w:noProof/>
                <w:webHidden/>
              </w:rPr>
              <w:t>12</w:t>
            </w:r>
            <w:r>
              <w:rPr>
                <w:noProof/>
                <w:webHidden/>
              </w:rPr>
              <w:fldChar w:fldCharType="end"/>
            </w:r>
          </w:hyperlink>
        </w:p>
        <w:p w14:paraId="0F777370" w14:textId="03245E2D" w:rsidR="003F0616" w:rsidRDefault="00685FEF" w:rsidP="00115F14">
          <w:r>
            <w:fldChar w:fldCharType="end"/>
          </w:r>
        </w:p>
      </w:sdtContent>
    </w:sdt>
    <w:p w14:paraId="13D2BD55" w14:textId="77777777" w:rsidR="003F0616" w:rsidRDefault="003F0616" w:rsidP="00115F14">
      <w:pPr>
        <w:rPr>
          <w:rStyle w:val="Strong"/>
          <w:rFonts w:cs="Arial"/>
          <w:b w:val="0"/>
          <w:bCs w:val="0"/>
          <w:color w:val="2F5496" w:themeColor="accent1" w:themeShade="BF"/>
          <w:sz w:val="28"/>
          <w:szCs w:val="28"/>
        </w:rPr>
      </w:pPr>
      <w:r>
        <w:rPr>
          <w:rStyle w:val="Strong"/>
          <w:rFonts w:cs="Arial"/>
          <w:color w:val="2F5496" w:themeColor="accent1" w:themeShade="BF"/>
          <w:sz w:val="28"/>
          <w:szCs w:val="28"/>
        </w:rPr>
        <w:br w:type="page"/>
      </w:r>
    </w:p>
    <w:p w14:paraId="1AFD9E0D" w14:textId="77777777" w:rsidR="00121EDF" w:rsidRPr="00D57FF1" w:rsidRDefault="00121EDF" w:rsidP="008E516A">
      <w:pPr>
        <w:pStyle w:val="Heading1"/>
      </w:pPr>
      <w:bookmarkStart w:id="2" w:name="_Toc173763655"/>
      <w:r w:rsidRPr="00D57FF1">
        <w:lastRenderedPageBreak/>
        <w:t>Introduction</w:t>
      </w:r>
      <w:bookmarkEnd w:id="2"/>
    </w:p>
    <w:p w14:paraId="7C56FB7E" w14:textId="286738DF" w:rsidR="00853391" w:rsidRPr="00A01938" w:rsidRDefault="1FC920B0" w:rsidP="008E516A">
      <w:pPr>
        <w:pStyle w:val="Heading2"/>
      </w:pPr>
      <w:bookmarkStart w:id="3" w:name="_Toc173763656"/>
      <w:r w:rsidRPr="008E516A">
        <w:t>Access</w:t>
      </w:r>
      <w:r w:rsidRPr="00A01938">
        <w:t xml:space="preserve"> and </w:t>
      </w:r>
      <w:r w:rsidR="7584893B" w:rsidRPr="00A01938">
        <w:t>e</w:t>
      </w:r>
      <w:r w:rsidRPr="00A01938">
        <w:t xml:space="preserve">quity in </w:t>
      </w:r>
      <w:r w:rsidR="57B4DC91" w:rsidRPr="00A01938">
        <w:t>vocational education and training (VET)</w:t>
      </w:r>
      <w:bookmarkEnd w:id="3"/>
    </w:p>
    <w:p w14:paraId="1F9FFA18" w14:textId="695A58B9" w:rsidR="009727CB" w:rsidRPr="00FD3223" w:rsidRDefault="53E91669" w:rsidP="0064420A">
      <w:r w:rsidRPr="00C91713">
        <w:t>T</w:t>
      </w:r>
      <w:r w:rsidR="029323A3" w:rsidRPr="00C91713">
        <w:t xml:space="preserve">he </w:t>
      </w:r>
      <w:hyperlink r:id="rId11" w:history="1">
        <w:r w:rsidR="029323A3" w:rsidRPr="001F1E96">
          <w:rPr>
            <w:rStyle w:val="Hyperlink"/>
            <w:rFonts w:cs="Arial"/>
          </w:rPr>
          <w:t xml:space="preserve">Standards for </w:t>
        </w:r>
        <w:r w:rsidR="64BB492F" w:rsidRPr="001F1E96">
          <w:rPr>
            <w:rStyle w:val="Hyperlink"/>
            <w:rFonts w:cs="Arial"/>
          </w:rPr>
          <w:t>Registered Training Organisations (</w:t>
        </w:r>
        <w:r w:rsidR="029323A3" w:rsidRPr="001F1E96">
          <w:rPr>
            <w:rStyle w:val="Hyperlink"/>
            <w:rFonts w:cs="Arial"/>
          </w:rPr>
          <w:t>RTOs</w:t>
        </w:r>
        <w:r w:rsidR="64BB492F" w:rsidRPr="001F1E96">
          <w:rPr>
            <w:rStyle w:val="Hyperlink"/>
            <w:rFonts w:cs="Arial"/>
          </w:rPr>
          <w:t>)</w:t>
        </w:r>
        <w:r w:rsidR="029323A3" w:rsidRPr="001F1E96">
          <w:rPr>
            <w:rStyle w:val="Hyperlink"/>
            <w:rFonts w:cs="Arial"/>
          </w:rPr>
          <w:t xml:space="preserve"> 201</w:t>
        </w:r>
        <w:r w:rsidR="00F510EB" w:rsidRPr="001F1E96">
          <w:rPr>
            <w:rStyle w:val="Hyperlink"/>
            <w:rFonts w:cs="Arial"/>
          </w:rPr>
          <w:t>5 (</w:t>
        </w:r>
        <w:proofErr w:type="spellStart"/>
        <w:r w:rsidR="0059674D" w:rsidRPr="001F1E96">
          <w:rPr>
            <w:rStyle w:val="Hyperlink"/>
            <w:rFonts w:cs="Arial"/>
          </w:rPr>
          <w:t>Cth</w:t>
        </w:r>
        <w:proofErr w:type="spellEnd"/>
        <w:r w:rsidR="0059674D" w:rsidRPr="001F1E96">
          <w:rPr>
            <w:rStyle w:val="Hyperlink"/>
            <w:rFonts w:cs="Arial"/>
          </w:rPr>
          <w:t>)</w:t>
        </w:r>
      </w:hyperlink>
      <w:r w:rsidR="029323A3" w:rsidRPr="00C91713">
        <w:rPr>
          <w:rStyle w:val="Hyperlink"/>
          <w:rFonts w:cs="Arial"/>
        </w:rPr>
        <w:t xml:space="preserve"> </w:t>
      </w:r>
      <w:r w:rsidR="00F34853" w:rsidRPr="00C91713">
        <w:t>(Standards</w:t>
      </w:r>
      <w:r w:rsidR="00F34853">
        <w:t xml:space="preserve"> for RTOs) o</w:t>
      </w:r>
      <w:r w:rsidR="029323A3" w:rsidRPr="64AEBB98">
        <w:t>utline the responsibility of providers to adhere to the principles of access and equity</w:t>
      </w:r>
      <w:r w:rsidR="00FD3223" w:rsidRPr="64AEBB98">
        <w:t>.</w:t>
      </w:r>
    </w:p>
    <w:p w14:paraId="58C85C27" w14:textId="77777777" w:rsidR="00807971" w:rsidRDefault="1FC920B0" w:rsidP="00115F14">
      <w:pPr>
        <w:pStyle w:val="indent"/>
      </w:pPr>
      <w:r w:rsidRPr="64AEBB98">
        <w:t xml:space="preserve">Access and equity </w:t>
      </w:r>
      <w:proofErr w:type="gramStart"/>
      <w:r w:rsidRPr="64AEBB98">
        <w:t>mean</w:t>
      </w:r>
      <w:r w:rsidR="53E91669" w:rsidRPr="64AEBB98">
        <w:t>s</w:t>
      </w:r>
      <w:proofErr w:type="gramEnd"/>
      <w:r w:rsidR="53E91669" w:rsidRPr="64AEBB98">
        <w:t xml:space="preserve"> </w:t>
      </w:r>
      <w:r w:rsidRPr="64AEBB98">
        <w:t xml:space="preserve">policies, procedures and practices aimed at ensuring that vocational education and training (VET) is responsive to the individual needs of all </w:t>
      </w:r>
      <w:r w:rsidR="006D4C31">
        <w:t>clients</w:t>
      </w:r>
      <w:r w:rsidRPr="64AEBB98">
        <w:t>, including those whose age, gender, cultural or ethnic background, disability, sexuality, language skills, literacy or numeracy level, unemployment, imprisonment, or remote location may present a barrier to access, participation and the achievement of suitable outcomes.</w:t>
      </w:r>
    </w:p>
    <w:p w14:paraId="53E0E499" w14:textId="0C8D05E5" w:rsidR="009B7E59" w:rsidRPr="009B7E59" w:rsidRDefault="009B7E59" w:rsidP="009B7E59">
      <w:r w:rsidRPr="009B7E59">
        <w:rPr>
          <w:b/>
          <w:bCs/>
        </w:rPr>
        <w:t xml:space="preserve">Please </w:t>
      </w:r>
      <w:proofErr w:type="gramStart"/>
      <w:r w:rsidRPr="009B7E59">
        <w:rPr>
          <w:b/>
          <w:bCs/>
        </w:rPr>
        <w:t>note:</w:t>
      </w:r>
      <w:proofErr w:type="gramEnd"/>
      <w:r w:rsidRPr="009B7E59">
        <w:t xml:space="preserve"> </w:t>
      </w:r>
      <w:r>
        <w:t>R</w:t>
      </w:r>
      <w:r w:rsidR="43D8807A">
        <w:t>TOs</w:t>
      </w:r>
      <w:r w:rsidRPr="009B7E59">
        <w:t xml:space="preserve"> registered by the </w:t>
      </w:r>
      <w:r w:rsidRPr="00086E72">
        <w:rPr>
          <w:i/>
          <w:iCs/>
        </w:rPr>
        <w:t>Victorian Registration and Qualifications Authority</w:t>
      </w:r>
      <w:r w:rsidRPr="009B7E59">
        <w:t xml:space="preserve"> or the </w:t>
      </w:r>
      <w:r w:rsidRPr="00086E72">
        <w:rPr>
          <w:i/>
          <w:iCs/>
        </w:rPr>
        <w:t>Training Accreditation Council Western Australia</w:t>
      </w:r>
      <w:r w:rsidRPr="009B7E59">
        <w:t xml:space="preserve"> may refer to the following websites for requirements specific to you.</w:t>
      </w:r>
    </w:p>
    <w:p w14:paraId="75AEA647" w14:textId="77777777" w:rsidR="009B7E59" w:rsidRPr="009B7E59" w:rsidRDefault="00ED1674" w:rsidP="009B7E59">
      <w:hyperlink r:id="rId12">
        <w:r w:rsidR="009B7E59" w:rsidRPr="009B7E59">
          <w:rPr>
            <w:rStyle w:val="Hyperlink"/>
            <w:rFonts w:eastAsiaTheme="minorEastAsia"/>
            <w:iCs/>
          </w:rPr>
          <w:t>Victorian Registration and Qualifications Authority</w:t>
        </w:r>
      </w:hyperlink>
    </w:p>
    <w:p w14:paraId="2E727016" w14:textId="735B9988" w:rsidR="00077AC3" w:rsidRDefault="00ED1674" w:rsidP="009B7E59">
      <w:hyperlink r:id="rId13">
        <w:r w:rsidR="009B7E59" w:rsidRPr="009B7E59">
          <w:rPr>
            <w:rStyle w:val="Hyperlink"/>
            <w:rFonts w:eastAsiaTheme="minorEastAsia"/>
            <w:iCs/>
          </w:rPr>
          <w:t>Training Accreditation Council Western Australia</w:t>
        </w:r>
      </w:hyperlink>
    </w:p>
    <w:p w14:paraId="3F87CE49" w14:textId="77777777" w:rsidR="00807971" w:rsidRDefault="00300646" w:rsidP="008E516A">
      <w:pPr>
        <w:pStyle w:val="Heading2"/>
      </w:pPr>
      <w:bookmarkStart w:id="4" w:name="_Toc173763657"/>
      <w:r w:rsidRPr="00300646">
        <w:t xml:space="preserve">Access and </w:t>
      </w:r>
      <w:r w:rsidR="00A237F2">
        <w:t>e</w:t>
      </w:r>
      <w:r w:rsidRPr="00300646">
        <w:t xml:space="preserve">quity </w:t>
      </w:r>
      <w:r w:rsidR="00A237F2">
        <w:t>p</w:t>
      </w:r>
      <w:r w:rsidRPr="00300646">
        <w:t>rinciples</w:t>
      </w:r>
      <w:bookmarkEnd w:id="4"/>
    </w:p>
    <w:p w14:paraId="2FFB00DE" w14:textId="2A2DF11E" w:rsidR="00853391" w:rsidRPr="00FD3223" w:rsidRDefault="009A4ECF" w:rsidP="0064420A">
      <w:r w:rsidRPr="00FD3223">
        <w:t xml:space="preserve">Access and </w:t>
      </w:r>
      <w:r w:rsidR="00F8243C">
        <w:t>e</w:t>
      </w:r>
      <w:r w:rsidRPr="00FD3223">
        <w:t>quity principles include:</w:t>
      </w:r>
    </w:p>
    <w:p w14:paraId="4B5D144C" w14:textId="588CC03F" w:rsidR="00853391" w:rsidRPr="00FD3223" w:rsidRDefault="00F8243C" w:rsidP="00115F14">
      <w:pPr>
        <w:pStyle w:val="bullettedlist"/>
      </w:pPr>
      <w:r>
        <w:t>e</w:t>
      </w:r>
      <w:r w:rsidR="009A4ECF" w:rsidRPr="00FD3223">
        <w:t>quity for all people through the fair and appropriate allocation of resources</w:t>
      </w:r>
    </w:p>
    <w:p w14:paraId="4CE084AB" w14:textId="2AB812AB" w:rsidR="00853391" w:rsidRPr="00FD3223" w:rsidRDefault="7584893B" w:rsidP="00115F14">
      <w:pPr>
        <w:pStyle w:val="bullettedlist"/>
      </w:pPr>
      <w:r w:rsidRPr="64AEBB98">
        <w:t>e</w:t>
      </w:r>
      <w:r w:rsidR="1FC920B0" w:rsidRPr="64AEBB98">
        <w:t>qual</w:t>
      </w:r>
      <w:r w:rsidR="00F8243C" w:rsidRPr="64AEBB98">
        <w:t>ity of</w:t>
      </w:r>
      <w:r w:rsidR="1FC920B0" w:rsidRPr="64AEBB98">
        <w:t xml:space="preserve"> opportunity for all people without discrimination</w:t>
      </w:r>
    </w:p>
    <w:p w14:paraId="5C4E84E3" w14:textId="0C2E2354" w:rsidR="00853391" w:rsidRPr="00FD3223" w:rsidRDefault="00F8243C" w:rsidP="00115F14">
      <w:pPr>
        <w:pStyle w:val="bullettedlist"/>
      </w:pPr>
      <w:r>
        <w:t>a</w:t>
      </w:r>
      <w:r w:rsidR="009A4ECF" w:rsidRPr="00FD3223">
        <w:t>ccess for all people to appropriate quality training and assessment services</w:t>
      </w:r>
    </w:p>
    <w:p w14:paraId="4B4CE077" w14:textId="610DF6CD" w:rsidR="00853391" w:rsidRPr="00FD3223" w:rsidRDefault="00F8243C" w:rsidP="00115F14">
      <w:pPr>
        <w:pStyle w:val="bullettedlist"/>
      </w:pPr>
      <w:r>
        <w:t>i</w:t>
      </w:r>
      <w:r w:rsidR="009A4ECF" w:rsidRPr="00FD3223">
        <w:t>ncreased opportunity for people to participate in training.</w:t>
      </w:r>
    </w:p>
    <w:p w14:paraId="5093E292" w14:textId="77777777" w:rsidR="00807971" w:rsidRDefault="009A4ECF" w:rsidP="008E516A">
      <w:pPr>
        <w:pStyle w:val="Heading2"/>
      </w:pPr>
      <w:bookmarkStart w:id="5" w:name="_Toc173763658"/>
      <w:r w:rsidRPr="0044683F">
        <w:t>Inclusive education practice</w:t>
      </w:r>
      <w:bookmarkEnd w:id="5"/>
    </w:p>
    <w:p w14:paraId="5F4C1390" w14:textId="0D033EFB" w:rsidR="00853391" w:rsidRPr="00FD3223" w:rsidRDefault="4565D9FC" w:rsidP="0064420A">
      <w:r w:rsidRPr="64AEBB98">
        <w:t>A</w:t>
      </w:r>
      <w:r w:rsidR="1FC920B0" w:rsidRPr="64AEBB98">
        <w:t>ccording to the United Nations, inclusive education:</w:t>
      </w:r>
    </w:p>
    <w:p w14:paraId="04976F75" w14:textId="77777777" w:rsidR="00853391" w:rsidRPr="00FD3223" w:rsidRDefault="009A4ECF" w:rsidP="00115F14">
      <w:pPr>
        <w:pStyle w:val="bullettedlist"/>
      </w:pPr>
      <w:r w:rsidRPr="00FD3223">
        <w:t>recognises individual learner strengths and capabilities</w:t>
      </w:r>
    </w:p>
    <w:p w14:paraId="409B7D72" w14:textId="77777777" w:rsidR="00853391" w:rsidRPr="00FD3223" w:rsidRDefault="009A4ECF" w:rsidP="00115F14">
      <w:pPr>
        <w:pStyle w:val="bullettedlist"/>
      </w:pPr>
      <w:r w:rsidRPr="00FD3223">
        <w:t>accommodates individual learner requirements</w:t>
      </w:r>
    </w:p>
    <w:p w14:paraId="5457B21D" w14:textId="2D1765C0" w:rsidR="0055128F" w:rsidRPr="00FD3223" w:rsidRDefault="1FC920B0" w:rsidP="00115F14">
      <w:pPr>
        <w:pStyle w:val="bullettedlist"/>
      </w:pPr>
      <w:r w:rsidRPr="00FD3223">
        <w:t>commits to removing barriers to participation</w:t>
      </w:r>
      <w:r w:rsidR="6B3C9897" w:rsidRPr="00FD3223">
        <w:t>.</w:t>
      </w:r>
      <w:r w:rsidR="00426499">
        <w:rPr>
          <w:rStyle w:val="FootnoteReference"/>
        </w:rPr>
        <w:footnoteReference w:id="2"/>
      </w:r>
    </w:p>
    <w:p w14:paraId="55F3E352" w14:textId="7F635FE1" w:rsidR="64AEBB98" w:rsidRPr="00115F14" w:rsidRDefault="1FC920B0" w:rsidP="00115F14">
      <w:r w:rsidRPr="00115F14">
        <w:t xml:space="preserve">Inclusive education requires VET providers to create meaningful, welcoming and engaging learning environments. It means designing, developing and delivering curriculum to reduce </w:t>
      </w:r>
      <w:r w:rsidR="53E91669" w:rsidRPr="00115F14">
        <w:t>barriers and</w:t>
      </w:r>
      <w:r w:rsidR="70E2141D" w:rsidRPr="00115F14">
        <w:t xml:space="preserve"> e</w:t>
      </w:r>
      <w:r w:rsidRPr="00115F14">
        <w:t>nsur</w:t>
      </w:r>
      <w:r w:rsidR="4D0B5C2D" w:rsidRPr="00115F14">
        <w:t>e</w:t>
      </w:r>
      <w:r w:rsidR="009A4ECF" w:rsidRPr="00115F14">
        <w:t xml:space="preserve"> that</w:t>
      </w:r>
      <w:r w:rsidRPr="00115F14">
        <w:t xml:space="preserve"> all learners have </w:t>
      </w:r>
      <w:r w:rsidR="4565D9FC" w:rsidRPr="00115F14">
        <w:t>a</w:t>
      </w:r>
      <w:r w:rsidRPr="00115F14">
        <w:t xml:space="preserve"> fair and equitable learning experience.</w:t>
      </w:r>
    </w:p>
    <w:p w14:paraId="072A4E5A" w14:textId="75A746EC" w:rsidR="64AEBB98" w:rsidRPr="00115F14" w:rsidRDefault="1FC920B0" w:rsidP="00115F14">
      <w:r w:rsidRPr="00115F14">
        <w:t>Inclusive education is</w:t>
      </w:r>
      <w:r w:rsidR="009A4ECF" w:rsidRPr="00115F14">
        <w:t xml:space="preserve"> not achieved by ticking a checklist. Instead, we</w:t>
      </w:r>
      <w:r w:rsidRPr="00115F14">
        <w:t xml:space="preserve"> achieve</w:t>
      </w:r>
      <w:r w:rsidR="009A4ECF" w:rsidRPr="00115F14">
        <w:t xml:space="preserve"> it</w:t>
      </w:r>
      <w:r w:rsidRPr="00115F14">
        <w:t xml:space="preserve"> through intentional design and practice. Principles of accessibility, usability and Universal Design for Learning (UDL) support an inclusive education and training approach</w:t>
      </w:r>
      <w:r w:rsidR="7C6BA6A9" w:rsidRPr="00115F14">
        <w:t xml:space="preserve"> for all students</w:t>
      </w:r>
      <w:r w:rsidRPr="00115F14">
        <w:t>.</w:t>
      </w:r>
    </w:p>
    <w:p w14:paraId="4BB62A45" w14:textId="0794B2DB" w:rsidR="00853391" w:rsidRPr="0044683F" w:rsidRDefault="009A4ECF" w:rsidP="008E516A">
      <w:pPr>
        <w:pStyle w:val="Heading2"/>
      </w:pPr>
      <w:bookmarkStart w:id="6" w:name="_Toc173763659"/>
      <w:r w:rsidRPr="00A22472">
        <w:lastRenderedPageBreak/>
        <w:t xml:space="preserve">Accessibility, </w:t>
      </w:r>
      <w:r w:rsidR="004907FD" w:rsidRPr="00A22472">
        <w:t>u</w:t>
      </w:r>
      <w:r w:rsidRPr="00A22472">
        <w:t>sability and UDL</w:t>
      </w:r>
      <w:bookmarkEnd w:id="6"/>
    </w:p>
    <w:p w14:paraId="50C2B12E" w14:textId="480CB764" w:rsidR="00205F5D" w:rsidRPr="00FD3223" w:rsidRDefault="009A4ECF" w:rsidP="0064420A">
      <w:r w:rsidRPr="64AEBB98">
        <w:t xml:space="preserve">When talking about inclusive educational design, we often talk about accessibility and usability. </w:t>
      </w:r>
      <w:r w:rsidR="1FC920B0" w:rsidRPr="64AEBB98">
        <w:t xml:space="preserve">Accessibility </w:t>
      </w:r>
      <w:r w:rsidRPr="64AEBB98">
        <w:t>is about</w:t>
      </w:r>
      <w:r w:rsidR="1FC920B0" w:rsidRPr="64AEBB98">
        <w:t xml:space="preserve"> addressing specific barriers for students with disability. Usability is about designing in a way that addresses a wide range of needs and preferences. Improving accessibility often improves usability. Together the</w:t>
      </w:r>
      <w:r w:rsidRPr="64AEBB98">
        <w:t>y</w:t>
      </w:r>
      <w:r w:rsidR="1FC920B0" w:rsidRPr="64AEBB98">
        <w:t xml:space="preserve"> create a more inclusive approach that benefits everyone.</w:t>
      </w:r>
    </w:p>
    <w:p w14:paraId="26807F45" w14:textId="14FF054E" w:rsidR="00853391" w:rsidRPr="00FD3223" w:rsidRDefault="009A4ECF" w:rsidP="0064420A">
      <w:r w:rsidRPr="2C865D91">
        <w:t xml:space="preserve">When we add </w:t>
      </w:r>
      <w:r w:rsidR="4D0B5C2D" w:rsidRPr="2C865D91">
        <w:t>UDL</w:t>
      </w:r>
      <w:r w:rsidRPr="2C865D91">
        <w:t xml:space="preserve">, we </w:t>
      </w:r>
      <w:r w:rsidR="1FC920B0" w:rsidRPr="2C865D91">
        <w:t xml:space="preserve">acknowledge </w:t>
      </w:r>
      <w:r w:rsidRPr="2C865D91">
        <w:t xml:space="preserve">that </w:t>
      </w:r>
      <w:r w:rsidR="1FC920B0" w:rsidRPr="2C865D91">
        <w:t>there is no 'typical' or 'average' learner. We all learn differently because of our diversity and variability</w:t>
      </w:r>
      <w:r w:rsidR="4BBCF9A3" w:rsidRPr="2C865D91">
        <w:t>, including disability</w:t>
      </w:r>
      <w:r w:rsidR="1FC920B0" w:rsidRPr="2C865D91">
        <w:t xml:space="preserve">. </w:t>
      </w:r>
      <w:r w:rsidR="154C8AC6" w:rsidRPr="2C865D91">
        <w:t>G</w:t>
      </w:r>
      <w:r w:rsidR="1FC920B0" w:rsidRPr="2C865D91">
        <w:t xml:space="preserve">reater flexibility in teaching and learning practice helps engage and support </w:t>
      </w:r>
      <w:r w:rsidR="4BBCF9A3" w:rsidRPr="2C865D91">
        <w:t xml:space="preserve">all </w:t>
      </w:r>
      <w:r w:rsidR="1FC920B0" w:rsidRPr="2C865D91">
        <w:t>learners to succeed.</w:t>
      </w:r>
    </w:p>
    <w:p w14:paraId="2A9F4A9E" w14:textId="672297A2" w:rsidR="00853391" w:rsidRPr="00FD3223" w:rsidRDefault="1FC920B0" w:rsidP="0064420A">
      <w:r w:rsidRPr="64AEBB98">
        <w:t>In simple terms, UDL means:</w:t>
      </w:r>
    </w:p>
    <w:p w14:paraId="3BFE4CFD" w14:textId="08542478" w:rsidR="00853391" w:rsidRPr="00FD3223" w:rsidRDefault="1FC920B0" w:rsidP="00115F14">
      <w:pPr>
        <w:pStyle w:val="bullettedlist"/>
      </w:pPr>
      <w:r w:rsidRPr="64AEBB98">
        <w:t>universal – ensuring all learners can participate, understand and learn</w:t>
      </w:r>
      <w:r w:rsidR="092E7C1D" w:rsidRPr="64AEBB98">
        <w:t>.</w:t>
      </w:r>
    </w:p>
    <w:p w14:paraId="25DC6B97" w14:textId="6600A657" w:rsidR="00853391" w:rsidRPr="00FD3223" w:rsidRDefault="1FC920B0" w:rsidP="00115F14">
      <w:pPr>
        <w:pStyle w:val="bullettedlist"/>
      </w:pPr>
      <w:r w:rsidRPr="64AEBB98">
        <w:t xml:space="preserve">design – ensuring we design, develop and deliver </w:t>
      </w:r>
      <w:r w:rsidR="3AE0AE0A" w:rsidRPr="64AEBB98">
        <w:t>accessible</w:t>
      </w:r>
      <w:r w:rsidRPr="64AEBB98">
        <w:t xml:space="preserve"> training and assessment strategies (curriculum) for the broadest group of learners possible</w:t>
      </w:r>
      <w:r w:rsidR="1D026600" w:rsidRPr="64AEBB98">
        <w:t>.</w:t>
      </w:r>
    </w:p>
    <w:p w14:paraId="03EA5158" w14:textId="77777777" w:rsidR="00807971" w:rsidRDefault="1FC920B0" w:rsidP="00115F14">
      <w:pPr>
        <w:pStyle w:val="bullettedlist"/>
      </w:pPr>
      <w:r w:rsidRPr="64AEBB98">
        <w:t xml:space="preserve">learning – incorporating </w:t>
      </w:r>
      <w:r w:rsidR="6B4584BC" w:rsidRPr="64AEBB98">
        <w:t>into curriculum design</w:t>
      </w:r>
      <w:r w:rsidR="6B4584BC" w:rsidRPr="64AEBB98">
        <w:rPr>
          <w:i/>
          <w:iCs/>
        </w:rPr>
        <w:t xml:space="preserve"> </w:t>
      </w:r>
      <w:r w:rsidRPr="64AEBB98">
        <w:rPr>
          <w:i/>
          <w:iCs/>
        </w:rPr>
        <w:t>what</w:t>
      </w:r>
      <w:r w:rsidR="7C56D639" w:rsidRPr="64AEBB98">
        <w:t xml:space="preserve"> a student needs to learn to do,</w:t>
      </w:r>
      <w:r w:rsidRPr="64AEBB98">
        <w:t xml:space="preserve"> </w:t>
      </w:r>
      <w:r w:rsidRPr="64AEBB98">
        <w:rPr>
          <w:i/>
          <w:iCs/>
        </w:rPr>
        <w:t xml:space="preserve">why </w:t>
      </w:r>
      <w:r w:rsidR="7C56D639" w:rsidRPr="64AEBB98">
        <w:t xml:space="preserve">they need to learn it </w:t>
      </w:r>
      <w:r w:rsidRPr="64AEBB98">
        <w:t xml:space="preserve">and </w:t>
      </w:r>
      <w:r w:rsidRPr="64AEBB98">
        <w:rPr>
          <w:i/>
          <w:iCs/>
        </w:rPr>
        <w:t>how</w:t>
      </w:r>
      <w:r w:rsidRPr="64AEBB98">
        <w:t xml:space="preserve"> </w:t>
      </w:r>
      <w:r w:rsidR="7C56D639" w:rsidRPr="64AEBB98">
        <w:t>they can learn it</w:t>
      </w:r>
      <w:r w:rsidR="6B4584BC" w:rsidRPr="64AEBB98">
        <w:t>.</w:t>
      </w:r>
    </w:p>
    <w:p w14:paraId="0241D55A" w14:textId="4E754524" w:rsidR="00853391" w:rsidRPr="00FD3223" w:rsidRDefault="1FC920B0" w:rsidP="0064420A">
      <w:r w:rsidRPr="64AEBB98">
        <w:t xml:space="preserve">UDL </w:t>
      </w:r>
      <w:r w:rsidR="154C8AC6" w:rsidRPr="64AEBB98">
        <w:t>comprises</w:t>
      </w:r>
      <w:r w:rsidRPr="64AEBB98">
        <w:t xml:space="preserve"> good curriculum design, development and delivery. It can offer many benefits.</w:t>
      </w:r>
    </w:p>
    <w:p w14:paraId="32A29A63" w14:textId="77777777" w:rsidR="00853391" w:rsidRPr="00FD3223" w:rsidRDefault="009A4ECF" w:rsidP="0064420A">
      <w:r w:rsidRPr="00FD3223">
        <w:t>For learners, benefits include:</w:t>
      </w:r>
    </w:p>
    <w:p w14:paraId="2309A6C1" w14:textId="77777777" w:rsidR="00853391" w:rsidRPr="00FD3223" w:rsidRDefault="009A4ECF" w:rsidP="00115F14">
      <w:pPr>
        <w:pStyle w:val="bullettedlist"/>
      </w:pPr>
      <w:r w:rsidRPr="00FD3223">
        <w:t>a curriculum and learning environment that allows them to learn in a way that aligns with their strengths, needs and preferences</w:t>
      </w:r>
    </w:p>
    <w:p w14:paraId="444EFBFA" w14:textId="77777777" w:rsidR="00853391" w:rsidRPr="00FD3223" w:rsidRDefault="009A4ECF" w:rsidP="00115F14">
      <w:pPr>
        <w:pStyle w:val="bullettedlist"/>
      </w:pPr>
      <w:r w:rsidRPr="00FD3223">
        <w:t>greater independence (balance between independence/interdependence) and self-efficacy (ability to cope and manage)</w:t>
      </w:r>
    </w:p>
    <w:p w14:paraId="252572B3" w14:textId="77777777" w:rsidR="00853391" w:rsidRPr="00FD3223" w:rsidRDefault="009A4ECF" w:rsidP="00115F14">
      <w:pPr>
        <w:pStyle w:val="bullettedlist"/>
      </w:pPr>
      <w:r w:rsidRPr="00FD3223">
        <w:t>empowerment through variety and choice in the curriculum</w:t>
      </w:r>
    </w:p>
    <w:p w14:paraId="28ADFE71" w14:textId="644FB5DF" w:rsidR="00853391" w:rsidRPr="00FD3223" w:rsidRDefault="009A4ECF" w:rsidP="00115F14">
      <w:pPr>
        <w:pStyle w:val="bullettedlist"/>
      </w:pPr>
      <w:r w:rsidRPr="00FD3223">
        <w:t>less need to share information about their disability</w:t>
      </w:r>
    </w:p>
    <w:p w14:paraId="3606FE7B" w14:textId="77777777" w:rsidR="00853391" w:rsidRPr="00FD3223" w:rsidRDefault="009A4ECF" w:rsidP="00115F14">
      <w:pPr>
        <w:pStyle w:val="bullettedlist"/>
      </w:pPr>
      <w:r w:rsidRPr="00FD3223">
        <w:t>less demand for specialised support services, which some learners may find stigmatising</w:t>
      </w:r>
    </w:p>
    <w:p w14:paraId="455D8ED3" w14:textId="77777777" w:rsidR="00853391" w:rsidRPr="00FD3223" w:rsidRDefault="009A4ECF" w:rsidP="00115F14">
      <w:pPr>
        <w:pStyle w:val="bullettedlist"/>
      </w:pPr>
      <w:r w:rsidRPr="00FD3223">
        <w:t>less need for reasonable adjustments or special provisions</w:t>
      </w:r>
    </w:p>
    <w:p w14:paraId="313CFBD6" w14:textId="77777777" w:rsidR="00853391" w:rsidRPr="00FD3223" w:rsidRDefault="1FC920B0" w:rsidP="00115F14">
      <w:pPr>
        <w:pStyle w:val="bullettedlist"/>
      </w:pPr>
      <w:r w:rsidRPr="64AEBB98">
        <w:t>a strength</w:t>
      </w:r>
      <w:r w:rsidR="009A4ECF" w:rsidRPr="64AEBB98">
        <w:t>s</w:t>
      </w:r>
      <w:r w:rsidRPr="64AEBB98">
        <w:t>-based approach</w:t>
      </w:r>
    </w:p>
    <w:p w14:paraId="11971691" w14:textId="77777777" w:rsidR="00807971" w:rsidRDefault="009A4ECF" w:rsidP="00115F14">
      <w:pPr>
        <w:pStyle w:val="bullettedlist"/>
      </w:pPr>
      <w:r w:rsidRPr="00FD3223">
        <w:t>increased equity</w:t>
      </w:r>
    </w:p>
    <w:p w14:paraId="15FCF508" w14:textId="198B570C" w:rsidR="00853391" w:rsidRPr="00FD3223" w:rsidRDefault="55D78B46" w:rsidP="00115F14">
      <w:pPr>
        <w:pStyle w:val="bullettedlist"/>
      </w:pPr>
      <w:r w:rsidRPr="64AEBB98">
        <w:t>increased</w:t>
      </w:r>
      <w:r w:rsidR="1FC920B0" w:rsidRPr="64AEBB98">
        <w:t xml:space="preserve"> motivation to learn</w:t>
      </w:r>
    </w:p>
    <w:p w14:paraId="2450F193" w14:textId="4E90EF7E" w:rsidR="00853391" w:rsidRPr="00FD3223" w:rsidRDefault="1FC920B0" w:rsidP="00115F14">
      <w:pPr>
        <w:pStyle w:val="bullettedlist"/>
      </w:pPr>
      <w:r w:rsidRPr="64AEBB98">
        <w:t>more understanding of their learning</w:t>
      </w:r>
      <w:r w:rsidR="4842C65D" w:rsidRPr="64AEBB98">
        <w:t xml:space="preserve"> style</w:t>
      </w:r>
    </w:p>
    <w:p w14:paraId="50505AAF" w14:textId="01FC2ED5" w:rsidR="00853391" w:rsidRPr="00FD3223" w:rsidRDefault="009A4ECF" w:rsidP="00115F14">
      <w:pPr>
        <w:pStyle w:val="bullettedlist"/>
      </w:pPr>
      <w:r w:rsidRPr="00FD3223">
        <w:t>better outcomes by elimination of barriers.</w:t>
      </w:r>
    </w:p>
    <w:p w14:paraId="35B3D3F3" w14:textId="429D5CCC" w:rsidR="00853391" w:rsidRPr="00FD3223" w:rsidRDefault="009A4ECF" w:rsidP="0064420A">
      <w:r w:rsidRPr="00FD3223">
        <w:t xml:space="preserve">For </w:t>
      </w:r>
      <w:r w:rsidR="00A74C9A">
        <w:t>trainers and assessors/RTOs</w:t>
      </w:r>
      <w:r w:rsidR="00C0348B">
        <w:t>/other tertiary providers</w:t>
      </w:r>
      <w:r w:rsidRPr="00FD3223">
        <w:t>, benefits include:</w:t>
      </w:r>
    </w:p>
    <w:p w14:paraId="4ED6EC17" w14:textId="77777777" w:rsidR="00853391" w:rsidRPr="00FD3223" w:rsidRDefault="009A4ECF" w:rsidP="00115F14">
      <w:pPr>
        <w:pStyle w:val="bullettedlist"/>
      </w:pPr>
      <w:r w:rsidRPr="00FD3223">
        <w:t>less need for individualised supports and associated costs</w:t>
      </w:r>
    </w:p>
    <w:p w14:paraId="262C0DE4" w14:textId="77777777" w:rsidR="00853391" w:rsidRPr="00FD3223" w:rsidRDefault="009A4ECF" w:rsidP="00115F14">
      <w:pPr>
        <w:pStyle w:val="bullettedlist"/>
      </w:pPr>
      <w:r w:rsidRPr="00FD3223">
        <w:t>more time to focus on high-value learning</w:t>
      </w:r>
    </w:p>
    <w:p w14:paraId="031DAE03" w14:textId="77777777" w:rsidR="00853391" w:rsidRPr="00FD3223" w:rsidRDefault="009A4ECF" w:rsidP="00115F14">
      <w:pPr>
        <w:pStyle w:val="bullettedlist"/>
      </w:pPr>
      <w:r w:rsidRPr="00FD3223">
        <w:t>better learning outcomes for all learners</w:t>
      </w:r>
    </w:p>
    <w:p w14:paraId="24A955D3" w14:textId="77777777" w:rsidR="00853391" w:rsidRPr="00FD3223" w:rsidRDefault="009A4ECF" w:rsidP="00115F14">
      <w:pPr>
        <w:pStyle w:val="bullettedlist"/>
      </w:pPr>
      <w:r w:rsidRPr="00FD3223">
        <w:t>increased engagement and learner retention</w:t>
      </w:r>
    </w:p>
    <w:p w14:paraId="0F4E43FE" w14:textId="77777777" w:rsidR="00853391" w:rsidRPr="00FD3223" w:rsidRDefault="009A4ECF" w:rsidP="00115F14">
      <w:pPr>
        <w:pStyle w:val="bullettedlist"/>
      </w:pPr>
      <w:r w:rsidRPr="00FD3223">
        <w:t>enhanced reputation</w:t>
      </w:r>
    </w:p>
    <w:p w14:paraId="4A6035A4" w14:textId="4423D1C3" w:rsidR="00121EDF" w:rsidRPr="0018611F" w:rsidRDefault="1FC920B0" w:rsidP="00BA65B1">
      <w:pPr>
        <w:pStyle w:val="bullettedlist"/>
        <w:rPr>
          <w:color w:val="2F5496" w:themeColor="accent1" w:themeShade="BF"/>
          <w:sz w:val="32"/>
          <w:szCs w:val="36"/>
        </w:rPr>
      </w:pPr>
      <w:r w:rsidRPr="64AEBB98">
        <w:t>a culture of inclusion.</w:t>
      </w:r>
      <w:r w:rsidR="00121EDF">
        <w:br w:type="page"/>
      </w:r>
    </w:p>
    <w:p w14:paraId="4FEE987B" w14:textId="49A497CB" w:rsidR="00853391" w:rsidRPr="00C25140" w:rsidRDefault="261B682B" w:rsidP="008E516A">
      <w:pPr>
        <w:pStyle w:val="Heading2"/>
      </w:pPr>
      <w:bookmarkStart w:id="7" w:name="_Toc173763660"/>
      <w:r w:rsidRPr="00C25140">
        <w:lastRenderedPageBreak/>
        <w:t>I</w:t>
      </w:r>
      <w:r w:rsidR="1FC920B0" w:rsidRPr="00C25140">
        <w:t>nclusive educational practice</w:t>
      </w:r>
      <w:r w:rsidRPr="00C25140">
        <w:t xml:space="preserve"> and the rights of stude</w:t>
      </w:r>
      <w:r w:rsidR="7E3BFFCD" w:rsidRPr="00C25140">
        <w:t>n</w:t>
      </w:r>
      <w:r w:rsidRPr="00C25140">
        <w:t>ts with disability</w:t>
      </w:r>
      <w:bookmarkEnd w:id="7"/>
    </w:p>
    <w:p w14:paraId="0FCF7A02" w14:textId="2065755B" w:rsidR="00DC7CD7" w:rsidRDefault="1FC920B0" w:rsidP="00DC7CD7">
      <w:r w:rsidRPr="005828A2">
        <w:t xml:space="preserve">The </w:t>
      </w:r>
      <w:hyperlink r:id="rId14" w:history="1">
        <w:r w:rsidRPr="005828A2">
          <w:rPr>
            <w:rStyle w:val="Hyperlink"/>
          </w:rPr>
          <w:t xml:space="preserve">Disability Discrimination Act </w:t>
        </w:r>
        <w:r w:rsidR="08A579AD" w:rsidRPr="005828A2">
          <w:rPr>
            <w:rStyle w:val="Hyperlink"/>
          </w:rPr>
          <w:t xml:space="preserve">1992 </w:t>
        </w:r>
        <w:r w:rsidR="004F63FA" w:rsidRPr="005828A2">
          <w:rPr>
            <w:rStyle w:val="Hyperlink"/>
          </w:rPr>
          <w:t>(</w:t>
        </w:r>
        <w:proofErr w:type="spellStart"/>
        <w:r w:rsidR="004F63FA" w:rsidRPr="005828A2">
          <w:rPr>
            <w:rStyle w:val="Hyperlink"/>
          </w:rPr>
          <w:t>Cth</w:t>
        </w:r>
        <w:proofErr w:type="spellEnd"/>
        <w:r w:rsidR="004F63FA" w:rsidRPr="005828A2">
          <w:rPr>
            <w:rStyle w:val="Hyperlink"/>
          </w:rPr>
          <w:t xml:space="preserve">) </w:t>
        </w:r>
        <w:r w:rsidR="004A1570" w:rsidRPr="005828A2">
          <w:rPr>
            <w:rStyle w:val="Hyperlink"/>
          </w:rPr>
          <w:t>(DDA)</w:t>
        </w:r>
      </w:hyperlink>
      <w:r w:rsidR="004A1570" w:rsidRPr="005828A2">
        <w:t xml:space="preserve"> </w:t>
      </w:r>
      <w:r w:rsidRPr="005828A2">
        <w:t>makes it unlawful to discriminate</w:t>
      </w:r>
      <w:r w:rsidRPr="0095591E">
        <w:t xml:space="preserve"> against people with disability</w:t>
      </w:r>
      <w:r w:rsidR="009A4ECF" w:rsidRPr="0095591E">
        <w:t xml:space="preserve"> and their associates based on disability</w:t>
      </w:r>
      <w:r w:rsidRPr="0095591E">
        <w:t>.</w:t>
      </w:r>
    </w:p>
    <w:p w14:paraId="156AC526" w14:textId="0627777A" w:rsidR="64AEBB98" w:rsidRPr="0095591E" w:rsidRDefault="1FC920B0" w:rsidP="00DC7CD7">
      <w:r w:rsidRPr="008C634E">
        <w:t xml:space="preserve">The </w:t>
      </w:r>
      <w:hyperlink r:id="rId15" w:history="1">
        <w:r w:rsidRPr="008C634E">
          <w:rPr>
            <w:rStyle w:val="Hyperlink"/>
          </w:rPr>
          <w:t>Disability Standards for Education 2005</w:t>
        </w:r>
        <w:r w:rsidR="004F63FA" w:rsidRPr="008C634E">
          <w:rPr>
            <w:rStyle w:val="Hyperlink"/>
          </w:rPr>
          <w:t xml:space="preserve"> (</w:t>
        </w:r>
        <w:proofErr w:type="spellStart"/>
        <w:r w:rsidR="004F63FA" w:rsidRPr="008C634E">
          <w:rPr>
            <w:rStyle w:val="Hyperlink"/>
          </w:rPr>
          <w:t>Cth</w:t>
        </w:r>
        <w:proofErr w:type="spellEnd"/>
        <w:r w:rsidR="004F63FA" w:rsidRPr="008C634E">
          <w:rPr>
            <w:rStyle w:val="Hyperlink"/>
          </w:rPr>
          <w:t>)</w:t>
        </w:r>
        <w:r w:rsidRPr="008C634E">
          <w:rPr>
            <w:rStyle w:val="Hyperlink"/>
          </w:rPr>
          <w:t xml:space="preserve"> </w:t>
        </w:r>
        <w:r w:rsidR="004A1570" w:rsidRPr="008C634E">
          <w:rPr>
            <w:rStyle w:val="Hyperlink"/>
          </w:rPr>
          <w:t>(</w:t>
        </w:r>
        <w:proofErr w:type="spellStart"/>
        <w:r w:rsidR="004A1570" w:rsidRPr="008C634E">
          <w:rPr>
            <w:rStyle w:val="Hyperlink"/>
          </w:rPr>
          <w:t>DSE</w:t>
        </w:r>
        <w:proofErr w:type="spellEnd"/>
        <w:r w:rsidR="004A1570" w:rsidRPr="008C634E">
          <w:rPr>
            <w:rStyle w:val="Hyperlink"/>
          </w:rPr>
          <w:t>)</w:t>
        </w:r>
      </w:hyperlink>
      <w:r w:rsidR="004A1570" w:rsidRPr="008C634E">
        <w:t xml:space="preserve"> </w:t>
      </w:r>
      <w:r w:rsidRPr="008C634E">
        <w:t>set out the standards</w:t>
      </w:r>
      <w:r w:rsidRPr="0095591E">
        <w:t xml:space="preserve"> education providers must comply with to achieve the </w:t>
      </w:r>
      <w:r w:rsidR="3AE0AE0A" w:rsidRPr="0095591E">
        <w:t>objectives</w:t>
      </w:r>
      <w:r w:rsidRPr="0095591E">
        <w:t xml:space="preserve"> of the DDA. Each </w:t>
      </w:r>
      <w:r w:rsidR="009A4ECF" w:rsidRPr="0095591E">
        <w:t>of these</w:t>
      </w:r>
      <w:r w:rsidRPr="0095591E">
        <w:t xml:space="preserve"> standard</w:t>
      </w:r>
      <w:r w:rsidR="009A4ECF" w:rsidRPr="0095591E">
        <w:t>s</w:t>
      </w:r>
      <w:r w:rsidRPr="0095591E">
        <w:t xml:space="preserve"> </w:t>
      </w:r>
      <w:r w:rsidR="3AE0AE0A" w:rsidRPr="0095591E">
        <w:t>deals</w:t>
      </w:r>
      <w:r w:rsidRPr="0095591E">
        <w:t xml:space="preserve"> with different aspects of education and training.</w:t>
      </w:r>
    </w:p>
    <w:p w14:paraId="246D5D61" w14:textId="77777777" w:rsidR="00807971" w:rsidRDefault="1FC920B0" w:rsidP="00DC7CD7">
      <w:r w:rsidRPr="64AEBB98">
        <w:t xml:space="preserve">The </w:t>
      </w:r>
      <w:proofErr w:type="spellStart"/>
      <w:r w:rsidR="00CF2917" w:rsidRPr="64AEBB98">
        <w:t>DSE</w:t>
      </w:r>
      <w:proofErr w:type="spellEnd"/>
      <w:r w:rsidRPr="64AEBB98">
        <w:t xml:space="preserve"> </w:t>
      </w:r>
      <w:r w:rsidR="00CF2917" w:rsidRPr="64AEBB98">
        <w:t>gives students with disability the same rights as other students. S</w:t>
      </w:r>
      <w:r w:rsidR="235F7AC0" w:rsidRPr="64AEBB98">
        <w:t xml:space="preserve">tudents with disability </w:t>
      </w:r>
      <w:r w:rsidR="00CF2917" w:rsidRPr="64AEBB98">
        <w:t>should be</w:t>
      </w:r>
      <w:r w:rsidR="235F7AC0" w:rsidRPr="64AEBB98">
        <w:t xml:space="preserve"> </w:t>
      </w:r>
      <w:r w:rsidRPr="64AEBB98">
        <w:t>treated with dignity and</w:t>
      </w:r>
      <w:r w:rsidR="3AE0AE0A" w:rsidRPr="64AEBB98">
        <w:t xml:space="preserve"> </w:t>
      </w:r>
      <w:r w:rsidRPr="64AEBB98">
        <w:t>respect.</w:t>
      </w:r>
      <w:r w:rsidR="235F7AC0" w:rsidRPr="64AEBB98">
        <w:t xml:space="preserve"> </w:t>
      </w:r>
      <w:r w:rsidR="00CF2917" w:rsidRPr="64AEBB98">
        <w:t>They should be able to</w:t>
      </w:r>
      <w:r w:rsidRPr="64AEBB98">
        <w:t xml:space="preserve"> enjoy the benefits of education and training in a supportive environment that values and encourages participation by all students.</w:t>
      </w:r>
    </w:p>
    <w:p w14:paraId="51DFE3FC" w14:textId="257C1639" w:rsidR="64AEBB98" w:rsidRDefault="1FC920B0" w:rsidP="00DC7CD7">
      <w:r w:rsidRPr="64AEBB98">
        <w:t xml:space="preserve">To achieve this, the </w:t>
      </w:r>
      <w:proofErr w:type="spellStart"/>
      <w:r w:rsidR="00CF2917" w:rsidRPr="64AEBB98">
        <w:t>DSE</w:t>
      </w:r>
      <w:proofErr w:type="spellEnd"/>
      <w:r w:rsidR="5369A549" w:rsidRPr="64AEBB98">
        <w:t xml:space="preserve"> </w:t>
      </w:r>
      <w:r w:rsidRPr="64AEBB98">
        <w:t>give</w:t>
      </w:r>
      <w:r w:rsidR="5369A549" w:rsidRPr="64AEBB98">
        <w:t>s</w:t>
      </w:r>
      <w:r w:rsidRPr="64AEBB98">
        <w:t xml:space="preserve"> </w:t>
      </w:r>
      <w:r w:rsidR="2712EB9C" w:rsidRPr="64AEBB98">
        <w:t xml:space="preserve">current </w:t>
      </w:r>
      <w:r w:rsidRPr="64AEBB98">
        <w:t xml:space="preserve">and prospective students with disability the </w:t>
      </w:r>
      <w:r w:rsidR="00CF2917" w:rsidRPr="64AEBB98">
        <w:t>right to education and training opportunities on the same basis as students without disability. This includes the</w:t>
      </w:r>
      <w:r w:rsidRPr="64AEBB98">
        <w:t xml:space="preserve"> right to comparable access, services and facilities, and the right to participate in education and training without discrimination.</w:t>
      </w:r>
    </w:p>
    <w:p w14:paraId="40B85992" w14:textId="77777777" w:rsidR="00247FE7" w:rsidRPr="00207E78" w:rsidRDefault="1FC920B0" w:rsidP="00404456">
      <w:pPr>
        <w:pStyle w:val="Heading3"/>
        <w:rPr>
          <w:rStyle w:val="Heading3Char"/>
        </w:rPr>
      </w:pPr>
      <w:r w:rsidRPr="00207E78">
        <w:rPr>
          <w:rStyle w:val="Heading3Char"/>
        </w:rPr>
        <w:t xml:space="preserve">What does this mean for </w:t>
      </w:r>
      <w:r w:rsidR="0756000B" w:rsidRPr="00207E78">
        <w:rPr>
          <w:rStyle w:val="Heading3Char"/>
        </w:rPr>
        <w:t>RTOs</w:t>
      </w:r>
      <w:r w:rsidRPr="00207E78">
        <w:rPr>
          <w:rStyle w:val="Heading3Char"/>
        </w:rPr>
        <w:t>?</w:t>
      </w:r>
    </w:p>
    <w:p w14:paraId="51B0FD27" w14:textId="2F1F3452" w:rsidR="64AEBB98" w:rsidRDefault="235F7AC0" w:rsidP="00DC7CD7">
      <w:r w:rsidRPr="1767BDA5">
        <w:t xml:space="preserve">RTOs have an obligation to comply with all legislation that is relevant to the services they provide. Clause 8.5 of the </w:t>
      </w:r>
      <w:r w:rsidR="00627972">
        <w:t xml:space="preserve">Standards for RTOs </w:t>
      </w:r>
      <w:r w:rsidRPr="1767BDA5">
        <w:t>require</w:t>
      </w:r>
      <w:r w:rsidR="7E309840" w:rsidRPr="1767BDA5">
        <w:t>s</w:t>
      </w:r>
      <w:r w:rsidRPr="1767BDA5">
        <w:t xml:space="preserve"> RTOs to comply with Commonwealth, </w:t>
      </w:r>
      <w:r w:rsidR="3B21BEEB" w:rsidRPr="1767BDA5">
        <w:t>s</w:t>
      </w:r>
      <w:r w:rsidRPr="1767BDA5">
        <w:t xml:space="preserve">tate and </w:t>
      </w:r>
      <w:r w:rsidR="3B21BEEB" w:rsidRPr="1767BDA5">
        <w:t>t</w:t>
      </w:r>
      <w:r w:rsidRPr="1767BDA5">
        <w:t xml:space="preserve">erritory legislation and regulatory requirements relevant to </w:t>
      </w:r>
      <w:r w:rsidR="5453349D" w:rsidRPr="1767BDA5">
        <w:t xml:space="preserve">their </w:t>
      </w:r>
      <w:r w:rsidRPr="1767BDA5">
        <w:t xml:space="preserve">operations. </w:t>
      </w:r>
      <w:r w:rsidR="002852A2">
        <w:t>Although not specifically stated under Clause 8.5, t</w:t>
      </w:r>
      <w:r w:rsidRPr="1767BDA5">
        <w:t xml:space="preserve">his obligation includes </w:t>
      </w:r>
      <w:r w:rsidR="5C11B4F2" w:rsidRPr="1767BDA5">
        <w:t xml:space="preserve">compliance with </w:t>
      </w:r>
      <w:r w:rsidRPr="1767BDA5">
        <w:t xml:space="preserve">the </w:t>
      </w:r>
      <w:r w:rsidR="00CF2917" w:rsidRPr="1767BDA5">
        <w:t>DDA</w:t>
      </w:r>
      <w:r w:rsidRPr="1767BDA5">
        <w:t xml:space="preserve"> and </w:t>
      </w:r>
      <w:proofErr w:type="spellStart"/>
      <w:r w:rsidR="00CF2917" w:rsidRPr="1767BDA5">
        <w:t>DSE</w:t>
      </w:r>
      <w:proofErr w:type="spellEnd"/>
      <w:r w:rsidRPr="1767BDA5">
        <w:t>.</w:t>
      </w:r>
    </w:p>
    <w:p w14:paraId="6C04CCE8" w14:textId="5BAAD1E0" w:rsidR="00CF2917" w:rsidRDefault="235F7AC0" w:rsidP="00DC7CD7">
      <w:r w:rsidRPr="64AEBB98">
        <w:t xml:space="preserve">Under the </w:t>
      </w:r>
      <w:proofErr w:type="spellStart"/>
      <w:r w:rsidR="00CF2917" w:rsidRPr="64AEBB98">
        <w:t>DSE</w:t>
      </w:r>
      <w:proofErr w:type="spellEnd"/>
      <w:r w:rsidR="7E309840" w:rsidRPr="64AEBB98">
        <w:t>,</w:t>
      </w:r>
      <w:r w:rsidRPr="64AEBB98">
        <w:t xml:space="preserve"> </w:t>
      </w:r>
      <w:r w:rsidR="1FC920B0" w:rsidRPr="64AEBB98">
        <w:t>RTOs have obligations at all stages of the learning journey</w:t>
      </w:r>
      <w:r w:rsidRPr="64AEBB98">
        <w:t xml:space="preserve"> including:</w:t>
      </w:r>
    </w:p>
    <w:p w14:paraId="13BEE7C2" w14:textId="77777777" w:rsidR="00CF2917" w:rsidRDefault="00CF2917" w:rsidP="00115F14">
      <w:pPr>
        <w:pStyle w:val="bullettedlist"/>
      </w:pPr>
      <w:r>
        <w:t>e</w:t>
      </w:r>
      <w:r w:rsidR="009A4ECF" w:rsidRPr="00FD3223">
        <w:t>nrolment</w:t>
      </w:r>
    </w:p>
    <w:p w14:paraId="1D2E3C68" w14:textId="1CBCD833" w:rsidR="00CF2917" w:rsidRDefault="009A4ECF" w:rsidP="00115F14">
      <w:pPr>
        <w:pStyle w:val="bullettedlist"/>
      </w:pPr>
      <w:r w:rsidRPr="00FD3223">
        <w:t>participation</w:t>
      </w:r>
    </w:p>
    <w:p w14:paraId="57BBCCB6" w14:textId="7D7ABBE2" w:rsidR="00CF2917" w:rsidRDefault="009A4ECF" w:rsidP="00115F14">
      <w:pPr>
        <w:pStyle w:val="bullettedlist"/>
      </w:pPr>
      <w:r w:rsidRPr="00FD3223">
        <w:t>curriculum development, accreditation and delivery</w:t>
      </w:r>
    </w:p>
    <w:p w14:paraId="26F74E6B" w14:textId="6886D0C0" w:rsidR="00CF2917" w:rsidRDefault="00CF2917" w:rsidP="00115F14">
      <w:pPr>
        <w:pStyle w:val="bullettedlist"/>
      </w:pPr>
      <w:r>
        <w:t>preventi</w:t>
      </w:r>
      <w:r w:rsidR="0058254D">
        <w:t>on of</w:t>
      </w:r>
      <w:r>
        <w:t xml:space="preserve"> harassment and victimisation</w:t>
      </w:r>
    </w:p>
    <w:p w14:paraId="4E6E0A89" w14:textId="77777777" w:rsidR="00807971" w:rsidRDefault="0058254D" w:rsidP="00115F14">
      <w:pPr>
        <w:pStyle w:val="bullettedlist"/>
      </w:pPr>
      <w:r>
        <w:t xml:space="preserve">provision of </w:t>
      </w:r>
      <w:r w:rsidR="009A4ECF" w:rsidRPr="00FD3223">
        <w:t>student support services.</w:t>
      </w:r>
    </w:p>
    <w:p w14:paraId="3C481C15" w14:textId="27A076E5" w:rsidR="00853391" w:rsidRPr="00FD3223" w:rsidRDefault="009A4ECF" w:rsidP="00DC7CD7">
      <w:r w:rsidRPr="00FD3223">
        <w:t>Examples of how providers can meet these obligations include:</w:t>
      </w:r>
    </w:p>
    <w:p w14:paraId="356A2EB1" w14:textId="167B0158" w:rsidR="00853391" w:rsidRPr="00FD3223" w:rsidRDefault="00E71BE6" w:rsidP="00115F14">
      <w:pPr>
        <w:pStyle w:val="bullettedlist"/>
      </w:pPr>
      <w:r>
        <w:t>c</w:t>
      </w:r>
      <w:r w:rsidR="009A4ECF" w:rsidRPr="00FD3223">
        <w:t xml:space="preserve">ourse planning and development </w:t>
      </w:r>
      <w:r>
        <w:t>that</w:t>
      </w:r>
      <w:r w:rsidRPr="00FD3223">
        <w:t xml:space="preserve"> </w:t>
      </w:r>
      <w:r w:rsidR="009A4ECF" w:rsidRPr="00FD3223">
        <w:t>consider</w:t>
      </w:r>
      <w:r>
        <w:t>s</w:t>
      </w:r>
      <w:r w:rsidR="009A4ECF" w:rsidRPr="00FD3223">
        <w:t xml:space="preserve"> the potential needs of students with disability and </w:t>
      </w:r>
      <w:r>
        <w:t xml:space="preserve">identifies </w:t>
      </w:r>
      <w:r w:rsidR="009A4ECF" w:rsidRPr="00FD3223">
        <w:t xml:space="preserve">ways to incorporate empowering </w:t>
      </w:r>
      <w:r w:rsidR="000D1013" w:rsidRPr="00FD3223">
        <w:t>and</w:t>
      </w:r>
      <w:r w:rsidR="009A4ECF" w:rsidRPr="00FD3223">
        <w:t xml:space="preserve"> </w:t>
      </w:r>
      <w:r w:rsidR="000D1013" w:rsidRPr="00FD3223">
        <w:t>enabling</w:t>
      </w:r>
      <w:r w:rsidR="009A4ECF" w:rsidRPr="00FD3223">
        <w:t xml:space="preserve"> learning and assessment strategies</w:t>
      </w:r>
    </w:p>
    <w:p w14:paraId="458E06B4" w14:textId="07EF50A2" w:rsidR="00853391" w:rsidRPr="00FD3223" w:rsidRDefault="66AE7807" w:rsidP="00115F14">
      <w:pPr>
        <w:pStyle w:val="bullettedlist"/>
      </w:pPr>
      <w:r w:rsidRPr="2C865D91">
        <w:t>inclusive e</w:t>
      </w:r>
      <w:r w:rsidR="1FC920B0" w:rsidRPr="2C865D91">
        <w:t>nrolment practices</w:t>
      </w:r>
    </w:p>
    <w:p w14:paraId="54EF4DA9" w14:textId="6C8B9879" w:rsidR="00853391" w:rsidRPr="00FD3223" w:rsidRDefault="009A4ECF" w:rsidP="00115F14">
      <w:pPr>
        <w:pStyle w:val="bullettedlist"/>
      </w:pPr>
      <w:r w:rsidRPr="00FD3223">
        <w:t>professional development for all staff in the organisation</w:t>
      </w:r>
    </w:p>
    <w:p w14:paraId="7B83409B" w14:textId="41BA1140" w:rsidR="00853391" w:rsidRPr="00FD3223" w:rsidRDefault="00796586" w:rsidP="00115F14">
      <w:pPr>
        <w:pStyle w:val="bullettedlist"/>
      </w:pPr>
      <w:r>
        <w:t>access and</w:t>
      </w:r>
      <w:r w:rsidRPr="00FD3223">
        <w:t xml:space="preserve"> </w:t>
      </w:r>
      <w:r w:rsidR="009A4ECF" w:rsidRPr="00FD3223">
        <w:t>equity policies and procedures</w:t>
      </w:r>
    </w:p>
    <w:p w14:paraId="75526FF1" w14:textId="6F0F109F" w:rsidR="00853391" w:rsidRPr="00FD3223" w:rsidRDefault="009A4ECF" w:rsidP="00115F14">
      <w:pPr>
        <w:pStyle w:val="bullettedlist"/>
      </w:pPr>
      <w:r w:rsidRPr="00FD3223">
        <w:t>relevant and accessible services and facilities</w:t>
      </w:r>
      <w:r w:rsidR="00CD5FB7">
        <w:t xml:space="preserve"> for all</w:t>
      </w:r>
    </w:p>
    <w:p w14:paraId="769D77A5" w14:textId="1367B46D" w:rsidR="00853391" w:rsidRPr="00FD3223" w:rsidRDefault="1FC920B0" w:rsidP="00115F14">
      <w:pPr>
        <w:pStyle w:val="bullettedlist"/>
      </w:pPr>
      <w:r w:rsidRPr="64AEBB98">
        <w:t xml:space="preserve">a </w:t>
      </w:r>
      <w:r w:rsidR="23AF8A74" w:rsidRPr="64AEBB98">
        <w:t xml:space="preserve">clear and fair </w:t>
      </w:r>
      <w:r w:rsidRPr="64AEBB98">
        <w:t>complaints process</w:t>
      </w:r>
      <w:r w:rsidR="12471FA0" w:rsidRPr="64AEBB98">
        <w:t>.</w:t>
      </w:r>
    </w:p>
    <w:p w14:paraId="1203E1F7" w14:textId="5B2703E1" w:rsidR="00853391" w:rsidRPr="00957FEC" w:rsidRDefault="1FC920B0" w:rsidP="00957FEC">
      <w:pPr>
        <w:pStyle w:val="Heading3"/>
      </w:pPr>
      <w:r w:rsidRPr="00957FEC">
        <w:t xml:space="preserve">What does </w:t>
      </w:r>
      <w:r w:rsidR="00545B7A" w:rsidRPr="00957FEC">
        <w:t xml:space="preserve">this </w:t>
      </w:r>
      <w:r w:rsidRPr="00957FEC">
        <w:t>mean for trainers and assessors?</w:t>
      </w:r>
    </w:p>
    <w:p w14:paraId="36094249" w14:textId="5DC0AFD2" w:rsidR="001405D7" w:rsidRPr="001405D7" w:rsidRDefault="002852A2" w:rsidP="001405D7">
      <w:r>
        <w:t>T</w:t>
      </w:r>
      <w:r w:rsidR="6E2EB393" w:rsidRPr="64AEBB98">
        <w:t xml:space="preserve">rainers </w:t>
      </w:r>
      <w:r w:rsidR="55074D3F" w:rsidRPr="64AEBB98">
        <w:t>and</w:t>
      </w:r>
      <w:r w:rsidR="6E2EB393" w:rsidRPr="64AEBB98">
        <w:t xml:space="preserve"> assessors </w:t>
      </w:r>
      <w:r w:rsidR="1FC920B0" w:rsidRPr="64AEBB98">
        <w:t>need to be suitably</w:t>
      </w:r>
      <w:r w:rsidR="009A4ECF" w:rsidRPr="64AEBB98">
        <w:t xml:space="preserve"> current and</w:t>
      </w:r>
      <w:r w:rsidR="1FC920B0" w:rsidRPr="64AEBB98">
        <w:t xml:space="preserve"> competent in </w:t>
      </w:r>
      <w:r w:rsidR="6E2EB393" w:rsidRPr="64AEBB98">
        <w:t xml:space="preserve">their </w:t>
      </w:r>
      <w:r w:rsidR="1FC920B0" w:rsidRPr="64AEBB98">
        <w:t>practice to provide training and assessment that is inclusive and empowering for all learners.</w:t>
      </w:r>
      <w:r w:rsidR="001405D7">
        <w:br w:type="page"/>
      </w:r>
    </w:p>
    <w:p w14:paraId="2902970C" w14:textId="602CE991" w:rsidR="00807971" w:rsidRDefault="009A4ECF" w:rsidP="00207E78">
      <w:pPr>
        <w:pStyle w:val="Heading3"/>
      </w:pPr>
      <w:r w:rsidRPr="00A64E44">
        <w:lastRenderedPageBreak/>
        <w:t xml:space="preserve">What is </w:t>
      </w:r>
      <w:r w:rsidR="002E448F" w:rsidRPr="00A64E44">
        <w:t>‘b</w:t>
      </w:r>
      <w:r w:rsidRPr="00A64E44">
        <w:t xml:space="preserve">uilding </w:t>
      </w:r>
      <w:r w:rsidR="002E448F" w:rsidRPr="00A64E44">
        <w:t>c</w:t>
      </w:r>
      <w:r w:rsidRPr="00A64E44">
        <w:t>apability</w:t>
      </w:r>
      <w:r w:rsidR="002E448F" w:rsidRPr="00A64E44">
        <w:t>’</w:t>
      </w:r>
      <w:r w:rsidRPr="00A64E44">
        <w:t xml:space="preserve"> and why </w:t>
      </w:r>
      <w:r w:rsidR="002E448F" w:rsidRPr="00A64E44">
        <w:t>is it necessary</w:t>
      </w:r>
      <w:r w:rsidRPr="00A64E44">
        <w:t>?</w:t>
      </w:r>
    </w:p>
    <w:p w14:paraId="0D87C20B" w14:textId="77777777" w:rsidR="00807971" w:rsidRDefault="1FC920B0" w:rsidP="00540CBB">
      <w:r w:rsidRPr="1767BDA5">
        <w:t xml:space="preserve">Capability building refers to </w:t>
      </w:r>
      <w:r w:rsidR="009A4ECF" w:rsidRPr="1767BDA5">
        <w:t xml:space="preserve">developing the skills and knowledge required for tasks. In this case, it is about </w:t>
      </w:r>
      <w:r w:rsidR="2B360E06" w:rsidRPr="1767BDA5">
        <w:t>RTO</w:t>
      </w:r>
      <w:r w:rsidR="102DC6A1" w:rsidRPr="1767BDA5">
        <w:t xml:space="preserve"> staff</w:t>
      </w:r>
      <w:r w:rsidR="55074D3F" w:rsidRPr="1767BDA5">
        <w:t>,</w:t>
      </w:r>
      <w:r w:rsidR="102DC6A1" w:rsidRPr="1767BDA5">
        <w:t xml:space="preserve"> trainers </w:t>
      </w:r>
      <w:r w:rsidR="55074D3F" w:rsidRPr="1767BDA5">
        <w:t>and</w:t>
      </w:r>
      <w:r w:rsidR="102DC6A1" w:rsidRPr="1767BDA5">
        <w:t xml:space="preserve"> assessors building knowledge, under</w:t>
      </w:r>
      <w:r w:rsidR="33B445DD" w:rsidRPr="1767BDA5">
        <w:t>standi</w:t>
      </w:r>
      <w:r w:rsidR="102DC6A1" w:rsidRPr="1767BDA5">
        <w:t xml:space="preserve">ng and skills to </w:t>
      </w:r>
      <w:r w:rsidRPr="1767BDA5">
        <w:t>support</w:t>
      </w:r>
      <w:r w:rsidR="102DC6A1" w:rsidRPr="1767BDA5">
        <w:t xml:space="preserve"> </w:t>
      </w:r>
      <w:r w:rsidRPr="1767BDA5">
        <w:t xml:space="preserve">students with disability and being able to confidently apply the requirements of the </w:t>
      </w:r>
      <w:r w:rsidR="009A4ECF" w:rsidRPr="1767BDA5">
        <w:t xml:space="preserve">DDA and </w:t>
      </w:r>
      <w:proofErr w:type="spellStart"/>
      <w:r w:rsidR="009A4ECF" w:rsidRPr="1767BDA5">
        <w:t>DSE</w:t>
      </w:r>
      <w:proofErr w:type="spellEnd"/>
      <w:r w:rsidRPr="1767BDA5">
        <w:t>.</w:t>
      </w:r>
    </w:p>
    <w:p w14:paraId="7E2F6EA8" w14:textId="77777777" w:rsidR="00807971" w:rsidRDefault="13EF4D62" w:rsidP="00540CBB">
      <w:r w:rsidRPr="64AEBB98">
        <w:t>Capability b</w:t>
      </w:r>
      <w:r w:rsidR="1FC920B0" w:rsidRPr="64AEBB98">
        <w:t xml:space="preserve">uilding </w:t>
      </w:r>
      <w:r w:rsidR="00D06E68" w:rsidRPr="64AEBB98">
        <w:t xml:space="preserve">does not have to happen overnight; it </w:t>
      </w:r>
      <w:r w:rsidR="591CDFBC" w:rsidRPr="64AEBB98">
        <w:t>requires</w:t>
      </w:r>
      <w:r w:rsidR="6E2EB393" w:rsidRPr="64AEBB98">
        <w:t xml:space="preserve"> </w:t>
      </w:r>
      <w:r w:rsidR="1FC920B0" w:rsidRPr="64AEBB98">
        <w:t xml:space="preserve">continuous </w:t>
      </w:r>
      <w:r w:rsidR="591CDFBC" w:rsidRPr="64AEBB98">
        <w:t>focus</w:t>
      </w:r>
      <w:r w:rsidR="1FC920B0" w:rsidRPr="64AEBB98">
        <w:t xml:space="preserve">. </w:t>
      </w:r>
      <w:r w:rsidR="6E2EB393" w:rsidRPr="64AEBB98">
        <w:t>RTO</w:t>
      </w:r>
      <w:r w:rsidR="33FACF92" w:rsidRPr="64AEBB98">
        <w:t xml:space="preserve"> </w:t>
      </w:r>
      <w:r w:rsidR="6E2EB393" w:rsidRPr="64AEBB98">
        <w:t>staff</w:t>
      </w:r>
      <w:r w:rsidR="55074D3F" w:rsidRPr="64AEBB98">
        <w:t>,</w:t>
      </w:r>
      <w:r w:rsidR="33FACF92" w:rsidRPr="64AEBB98">
        <w:t xml:space="preserve"> trainers </w:t>
      </w:r>
      <w:r w:rsidR="00D06E68" w:rsidRPr="64AEBB98">
        <w:t>&amp;</w:t>
      </w:r>
      <w:r w:rsidR="33FACF92" w:rsidRPr="64AEBB98">
        <w:t xml:space="preserve"> assessors </w:t>
      </w:r>
      <w:r w:rsidR="1FC920B0" w:rsidRPr="64AEBB98">
        <w:t xml:space="preserve">can start small and </w:t>
      </w:r>
      <w:r w:rsidR="00D06E68" w:rsidRPr="64AEBB98">
        <w:t xml:space="preserve">then </w:t>
      </w:r>
      <w:r w:rsidR="1FC920B0" w:rsidRPr="64AEBB98">
        <w:t xml:space="preserve">continue to build. </w:t>
      </w:r>
      <w:r w:rsidR="4AFD7B97" w:rsidRPr="64AEBB98">
        <w:t xml:space="preserve">It </w:t>
      </w:r>
      <w:r w:rsidR="1FC920B0" w:rsidRPr="64AEBB98">
        <w:t>involves active learning</w:t>
      </w:r>
      <w:r w:rsidR="00D06E68" w:rsidRPr="64AEBB98">
        <w:t>;</w:t>
      </w:r>
      <w:r w:rsidR="56840685" w:rsidRPr="64AEBB98">
        <w:t xml:space="preserve"> </w:t>
      </w:r>
      <w:r w:rsidR="4AFD7B97" w:rsidRPr="64AEBB98">
        <w:t xml:space="preserve">where </w:t>
      </w:r>
      <w:r w:rsidR="56840685" w:rsidRPr="64AEBB98">
        <w:t>k</w:t>
      </w:r>
      <w:r w:rsidR="1FC920B0" w:rsidRPr="64AEBB98">
        <w:t>nowledge</w:t>
      </w:r>
      <w:r w:rsidR="56840685" w:rsidRPr="64AEBB98">
        <w:t>,</w:t>
      </w:r>
      <w:r w:rsidR="1FC920B0" w:rsidRPr="64AEBB98">
        <w:t xml:space="preserve"> </w:t>
      </w:r>
      <w:r w:rsidR="56840685" w:rsidRPr="64AEBB98">
        <w:t>understa</w:t>
      </w:r>
      <w:r w:rsidR="0C5E8D62" w:rsidRPr="64AEBB98">
        <w:t>n</w:t>
      </w:r>
      <w:r w:rsidR="56840685" w:rsidRPr="64AEBB98">
        <w:t xml:space="preserve">ding and </w:t>
      </w:r>
      <w:r w:rsidR="1FC920B0" w:rsidRPr="64AEBB98">
        <w:t>skill</w:t>
      </w:r>
      <w:r w:rsidR="56840685" w:rsidRPr="64AEBB98">
        <w:t>s</w:t>
      </w:r>
      <w:r w:rsidR="1FC920B0" w:rsidRPr="64AEBB98">
        <w:t xml:space="preserve"> are developed, practised and applied</w:t>
      </w:r>
      <w:r w:rsidR="102DC6A1" w:rsidRPr="64AEBB98">
        <w:t>.</w:t>
      </w:r>
    </w:p>
    <w:p w14:paraId="77EA3E24" w14:textId="34C94BF2" w:rsidR="00066BE6" w:rsidRDefault="000143E9" w:rsidP="00540CBB">
      <w:r w:rsidRPr="64AEBB98">
        <w:t>Actions will not always be correct;</w:t>
      </w:r>
      <w:r w:rsidR="1FC920B0" w:rsidRPr="64AEBB98">
        <w:t xml:space="preserve"> </w:t>
      </w:r>
      <w:r w:rsidRPr="64AEBB98">
        <w:t>h</w:t>
      </w:r>
      <w:r w:rsidR="06F24E49" w:rsidRPr="64AEBB98">
        <w:t>owever</w:t>
      </w:r>
      <w:r w:rsidR="0C5E8D62" w:rsidRPr="64AEBB98">
        <w:t>,</w:t>
      </w:r>
      <w:r w:rsidR="06F24E49" w:rsidRPr="64AEBB98">
        <w:t xml:space="preserve"> it </w:t>
      </w:r>
      <w:r w:rsidR="66A6856A" w:rsidRPr="64AEBB98">
        <w:t>is</w:t>
      </w:r>
      <w:r w:rsidR="1FC920B0" w:rsidRPr="64AEBB98">
        <w:t xml:space="preserve"> important</w:t>
      </w:r>
      <w:r w:rsidR="06F24E49" w:rsidRPr="64AEBB98">
        <w:t xml:space="preserve"> to continually build </w:t>
      </w:r>
      <w:r w:rsidR="1FC920B0" w:rsidRPr="64AEBB98">
        <w:t xml:space="preserve">capability </w:t>
      </w:r>
      <w:r w:rsidR="06F24E49" w:rsidRPr="64AEBB98">
        <w:t xml:space="preserve">to improve </w:t>
      </w:r>
      <w:r w:rsidR="006D00DB" w:rsidRPr="64AEBB98">
        <w:t xml:space="preserve">and </w:t>
      </w:r>
      <w:r w:rsidRPr="64AEBB98">
        <w:t>grow</w:t>
      </w:r>
      <w:r w:rsidR="6E2EB393" w:rsidRPr="64AEBB98">
        <w:t xml:space="preserve"> </w:t>
      </w:r>
      <w:r w:rsidR="1FC920B0" w:rsidRPr="64AEBB98">
        <w:t xml:space="preserve">inclusive training and assessment </w:t>
      </w:r>
      <w:r w:rsidR="006D00DB" w:rsidRPr="64AEBB98">
        <w:t xml:space="preserve">environments, </w:t>
      </w:r>
      <w:r w:rsidR="1FC920B0" w:rsidRPr="64AEBB98">
        <w:t>practice</w:t>
      </w:r>
      <w:r w:rsidR="006D00DB" w:rsidRPr="64AEBB98">
        <w:t>s and experiences.</w:t>
      </w:r>
    </w:p>
    <w:p w14:paraId="3A007F4C" w14:textId="70971FA0" w:rsidR="00853391" w:rsidRPr="00FD3223" w:rsidRDefault="1FC920B0" w:rsidP="00540CBB">
      <w:r w:rsidRPr="64AEBB98">
        <w:t>There are many ways to do this</w:t>
      </w:r>
      <w:r w:rsidR="55FC26AD" w:rsidRPr="64AEBB98">
        <w:t>, including</w:t>
      </w:r>
      <w:r w:rsidRPr="64AEBB98">
        <w:t>:</w:t>
      </w:r>
    </w:p>
    <w:p w14:paraId="2A606262" w14:textId="416233C1" w:rsidR="00002855" w:rsidRPr="00002855" w:rsidRDefault="00002855" w:rsidP="00115F14">
      <w:pPr>
        <w:pStyle w:val="bullettedlist"/>
      </w:pPr>
      <w:r>
        <w:t>f</w:t>
      </w:r>
      <w:r w:rsidR="009A4ECF" w:rsidRPr="00FD3223">
        <w:t>ree e</w:t>
      </w:r>
      <w:r>
        <w:t>-</w:t>
      </w:r>
      <w:r w:rsidR="009A4ECF" w:rsidRPr="00FD3223">
        <w:t>Learning opportunities e.g.</w:t>
      </w:r>
      <w:r w:rsidR="00F41537">
        <w:t>,</w:t>
      </w:r>
      <w:r w:rsidR="009A4ECF" w:rsidRPr="00FD3223">
        <w:t xml:space="preserve"> </w:t>
      </w:r>
      <w:hyperlink r:id="rId16" w:history="1">
        <w:r w:rsidR="009A4ECF" w:rsidRPr="00361AE0">
          <w:rPr>
            <w:rStyle w:val="Hyperlink"/>
          </w:rPr>
          <w:t>disabilityawareness.com.au</w:t>
        </w:r>
      </w:hyperlink>
    </w:p>
    <w:p w14:paraId="333B234E" w14:textId="1AED8E8B" w:rsidR="00853391" w:rsidRPr="00FD3223" w:rsidRDefault="009A4ECF" w:rsidP="00115F14">
      <w:pPr>
        <w:pStyle w:val="bullettedlist"/>
      </w:pPr>
      <w:r w:rsidRPr="00FD3223">
        <w:t>training and webinars (free and paid) through key training organisations such as ADCET, V</w:t>
      </w:r>
      <w:r w:rsidR="003A01B1">
        <w:t xml:space="preserve">ictorian </w:t>
      </w:r>
      <w:r w:rsidRPr="00FD3223">
        <w:t>D</w:t>
      </w:r>
      <w:r w:rsidR="003A01B1">
        <w:t xml:space="preserve">evelopment </w:t>
      </w:r>
      <w:r w:rsidRPr="00FD3223">
        <w:t>C</w:t>
      </w:r>
      <w:r w:rsidR="003A01B1">
        <w:t>entre (VDC)</w:t>
      </w:r>
      <w:r w:rsidRPr="00FD3223">
        <w:t>, V</w:t>
      </w:r>
      <w:r w:rsidR="003A01B1">
        <w:t>elg Training</w:t>
      </w:r>
      <w:r w:rsidRPr="00FD3223">
        <w:t xml:space="preserve">, </w:t>
      </w:r>
      <w:proofErr w:type="spellStart"/>
      <w:r w:rsidRPr="00FD3223">
        <w:t>VETR</w:t>
      </w:r>
      <w:proofErr w:type="spellEnd"/>
    </w:p>
    <w:p w14:paraId="7EC646A4" w14:textId="7764419B" w:rsidR="00853391" w:rsidRPr="00FD3223" w:rsidRDefault="504D45E9" w:rsidP="00115F14">
      <w:pPr>
        <w:pStyle w:val="bullettedlist"/>
      </w:pPr>
      <w:r w:rsidRPr="64AEBB98">
        <w:t>b</w:t>
      </w:r>
      <w:r w:rsidR="1FC920B0" w:rsidRPr="64AEBB98">
        <w:t xml:space="preserve">uilding </w:t>
      </w:r>
      <w:r w:rsidR="00F53C92" w:rsidRPr="64AEBB98">
        <w:t>a</w:t>
      </w:r>
      <w:r w:rsidR="1FC920B0" w:rsidRPr="64AEBB98">
        <w:t xml:space="preserve"> network </w:t>
      </w:r>
      <w:r w:rsidR="00F53C92" w:rsidRPr="64AEBB98">
        <w:t>within the organisation</w:t>
      </w:r>
    </w:p>
    <w:p w14:paraId="17910395" w14:textId="18FB49F1" w:rsidR="00853391" w:rsidRPr="00FD3223" w:rsidRDefault="504D45E9" w:rsidP="00115F14">
      <w:pPr>
        <w:pStyle w:val="bullettedlist"/>
      </w:pPr>
      <w:r w:rsidRPr="64AEBB98">
        <w:t>p</w:t>
      </w:r>
      <w:r w:rsidR="0756000B" w:rsidRPr="64AEBB98">
        <w:t>articipating</w:t>
      </w:r>
      <w:r w:rsidR="1FC920B0" w:rsidRPr="64AEBB98">
        <w:t xml:space="preserve"> in external network</w:t>
      </w:r>
      <w:r w:rsidR="00F53C92" w:rsidRPr="64AEBB98">
        <w:t>s</w:t>
      </w:r>
    </w:p>
    <w:p w14:paraId="3143244D" w14:textId="1ACDD0D7" w:rsidR="00853391" w:rsidRPr="00FD3223" w:rsidRDefault="00F53C92" w:rsidP="00115F14">
      <w:pPr>
        <w:pStyle w:val="bullettedlist"/>
      </w:pPr>
      <w:r>
        <w:t>a</w:t>
      </w:r>
      <w:r w:rsidR="009A4ECF" w:rsidRPr="00FD3223">
        <w:t>dding inclusive approaches as an agenda item in team meetings</w:t>
      </w:r>
    </w:p>
    <w:p w14:paraId="77D46826" w14:textId="7B5069E1" w:rsidR="00853391" w:rsidRPr="00FD3223" w:rsidRDefault="00F53C92" w:rsidP="00115F14">
      <w:pPr>
        <w:pStyle w:val="bullettedlist"/>
      </w:pPr>
      <w:r w:rsidRPr="64AEBB98">
        <w:t>having</w:t>
      </w:r>
      <w:r w:rsidR="1FC920B0" w:rsidRPr="64AEBB98">
        <w:t xml:space="preserve"> a </w:t>
      </w:r>
      <w:r w:rsidR="0756000B" w:rsidRPr="64AEBB98">
        <w:t>resource</w:t>
      </w:r>
      <w:r w:rsidR="1FC920B0" w:rsidRPr="64AEBB98">
        <w:t xml:space="preserve"> bank</w:t>
      </w:r>
    </w:p>
    <w:p w14:paraId="5160472A" w14:textId="275C4FBB" w:rsidR="009D3609" w:rsidRPr="002C2CA1" w:rsidRDefault="504D45E9" w:rsidP="00AB7A41">
      <w:pPr>
        <w:pStyle w:val="bullettedlist"/>
        <w:spacing w:before="0" w:after="0"/>
      </w:pPr>
      <w:r w:rsidRPr="2C865D91">
        <w:t>m</w:t>
      </w:r>
      <w:r w:rsidR="1FC920B0" w:rsidRPr="2C865D91">
        <w:t>entoring and shadowing</w:t>
      </w:r>
      <w:r w:rsidRPr="2C865D91">
        <w:t>.</w:t>
      </w:r>
      <w:r w:rsidR="009D3609">
        <w:br w:type="page"/>
      </w:r>
    </w:p>
    <w:p w14:paraId="5351AF89" w14:textId="77777777" w:rsidR="00425D41" w:rsidRDefault="009423AD" w:rsidP="009D3609">
      <w:pPr>
        <w:rPr>
          <w:b/>
          <w:bCs/>
        </w:rPr>
      </w:pPr>
      <w:r w:rsidRPr="009D3609">
        <w:rPr>
          <w:b/>
          <w:bCs/>
        </w:rPr>
        <w:lastRenderedPageBreak/>
        <w:t xml:space="preserve">Figure 1: </w:t>
      </w:r>
      <w:r w:rsidR="1FC920B0" w:rsidRPr="009D3609">
        <w:rPr>
          <w:b/>
          <w:bCs/>
        </w:rPr>
        <w:t xml:space="preserve">The </w:t>
      </w:r>
      <w:r w:rsidR="24CA803D" w:rsidRPr="009D3609">
        <w:rPr>
          <w:b/>
          <w:bCs/>
        </w:rPr>
        <w:t>s</w:t>
      </w:r>
      <w:r w:rsidR="1FC920B0" w:rsidRPr="009D3609">
        <w:rPr>
          <w:b/>
          <w:bCs/>
        </w:rPr>
        <w:t xml:space="preserve">tudent </w:t>
      </w:r>
      <w:r w:rsidR="24CA803D" w:rsidRPr="009D3609">
        <w:rPr>
          <w:b/>
          <w:bCs/>
        </w:rPr>
        <w:t>l</w:t>
      </w:r>
      <w:r w:rsidR="1FC920B0" w:rsidRPr="009D3609">
        <w:rPr>
          <w:b/>
          <w:bCs/>
        </w:rPr>
        <w:t xml:space="preserve">earning </w:t>
      </w:r>
      <w:r w:rsidR="24CA803D" w:rsidRPr="009D3609">
        <w:rPr>
          <w:b/>
          <w:bCs/>
        </w:rPr>
        <w:t>j</w:t>
      </w:r>
      <w:r w:rsidR="1FC920B0" w:rsidRPr="009D3609">
        <w:rPr>
          <w:b/>
          <w:bCs/>
        </w:rPr>
        <w:t>ourney</w:t>
      </w:r>
    </w:p>
    <w:p w14:paraId="56F6437F" w14:textId="781FE737" w:rsidR="0082042F" w:rsidRPr="00C71F04" w:rsidRDefault="008C355C" w:rsidP="00C71F04">
      <w:pPr>
        <w:rPr>
          <w:rStyle w:val="Strong"/>
        </w:rPr>
      </w:pPr>
      <w:r>
        <w:rPr>
          <w:b/>
          <w:bCs/>
          <w:noProof/>
        </w:rPr>
        <w:drawing>
          <wp:inline distT="0" distB="0" distL="0" distR="0" wp14:anchorId="1976AF1A" wp14:editId="2FC7E36C">
            <wp:extent cx="5731510" cy="5731510"/>
            <wp:effectExtent l="0" t="0" r="2540" b="2540"/>
            <wp:docPr id="1876098497" name="Picture 1876098497" descr="VET student learning journey: Transition to VET includes pre-enrolment, enrolment, participation, reasonable adjustments, student supports, curriculum and progression and completion. The middle circle focuses on inclusive design, development, training and assessment. The outer circle includes compliance, quality assurance and curricu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98497" name="Picture 1" descr="VET student learning journey: Transition to VET includes pre-enrolment, enrolment, participation, reasonable adjustments, student supports, curriculum and progression and completion. The middle circle focuses on inclusive design, development, training and assessment. The outer circle includes compliance, quality assurance and curriculum."/>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r w:rsidR="0082042F">
        <w:rPr>
          <w:rStyle w:val="Strong"/>
          <w:b w:val="0"/>
          <w:bCs w:val="0"/>
        </w:rPr>
        <w:br w:type="page"/>
      </w:r>
    </w:p>
    <w:p w14:paraId="57F56548" w14:textId="068C7F24" w:rsidR="00853391" w:rsidRPr="00BA6DEA" w:rsidRDefault="1FC920B0" w:rsidP="008E516A">
      <w:pPr>
        <w:pStyle w:val="Heading1"/>
      </w:pPr>
      <w:bookmarkStart w:id="8" w:name="_Toc173763661"/>
      <w:r w:rsidRPr="00BA6DEA">
        <w:lastRenderedPageBreak/>
        <w:t>Supporting Students with Disability in VET Toolki</w:t>
      </w:r>
      <w:r w:rsidR="789A049A" w:rsidRPr="00BA6DEA">
        <w:t>t</w:t>
      </w:r>
      <w:bookmarkEnd w:id="8"/>
    </w:p>
    <w:p w14:paraId="7C3B5165" w14:textId="15E8B5A4" w:rsidR="00853391" w:rsidRPr="00FD3223" w:rsidRDefault="1FC920B0" w:rsidP="00115F14">
      <w:r w:rsidRPr="64AEBB98">
        <w:t>The Supporting Students with Disability in VET Toolkit i</w:t>
      </w:r>
      <w:r w:rsidR="009A4ECF" w:rsidRPr="64AEBB98">
        <w:t>s</w:t>
      </w:r>
      <w:r w:rsidRPr="64AEBB98">
        <w:t xml:space="preserve"> a range of resources to build capability and confiden</w:t>
      </w:r>
      <w:r w:rsidR="6B1D338D" w:rsidRPr="64AEBB98">
        <w:t>ce</w:t>
      </w:r>
      <w:r w:rsidRPr="64AEBB98">
        <w:t xml:space="preserve"> in implementing inclusive practice, </w:t>
      </w:r>
      <w:r w:rsidR="55CEDA42" w:rsidRPr="64AEBB98">
        <w:t>including</w:t>
      </w:r>
      <w:r w:rsidRPr="64AEBB98">
        <w:t>:</w:t>
      </w:r>
    </w:p>
    <w:p w14:paraId="0AAE9285" w14:textId="1896BA5C" w:rsidR="00853391" w:rsidRPr="00FD3223" w:rsidRDefault="00C16225" w:rsidP="00115F14">
      <w:pPr>
        <w:pStyle w:val="bullettedlist"/>
      </w:pPr>
      <w:r>
        <w:t>d</w:t>
      </w:r>
      <w:r w:rsidR="009A4ECF" w:rsidRPr="00FD3223">
        <w:t xml:space="preserve">esigning, developing and implementing accessible </w:t>
      </w:r>
      <w:r w:rsidR="00CF2917">
        <w:t xml:space="preserve">training </w:t>
      </w:r>
      <w:r w:rsidR="009A4ECF" w:rsidRPr="00FD3223">
        <w:t>and assessment</w:t>
      </w:r>
    </w:p>
    <w:p w14:paraId="6637B17C" w14:textId="3875EE95" w:rsidR="00853391" w:rsidRPr="00FD3223" w:rsidRDefault="1FC920B0" w:rsidP="00115F14">
      <w:pPr>
        <w:pStyle w:val="bullettedlist"/>
      </w:pPr>
      <w:r w:rsidRPr="64AEBB98">
        <w:t>consulting students with disability about their needs</w:t>
      </w:r>
    </w:p>
    <w:p w14:paraId="01A0D298" w14:textId="6978175D" w:rsidR="00853391" w:rsidRPr="00FD3223" w:rsidRDefault="009A4ECF" w:rsidP="00115F14">
      <w:pPr>
        <w:pStyle w:val="bullettedlist"/>
      </w:pPr>
      <w:r w:rsidRPr="00FD3223">
        <w:t>determining, documenting, implementing and monitoring reasonable adjustments</w:t>
      </w:r>
    </w:p>
    <w:p w14:paraId="11BBBDF4" w14:textId="280BCC60" w:rsidR="00853391" w:rsidRPr="00FD3223" w:rsidRDefault="6B1D338D" w:rsidP="00115F14">
      <w:pPr>
        <w:pStyle w:val="bullettedlist"/>
      </w:pPr>
      <w:r w:rsidRPr="64AEBB98">
        <w:t>c</w:t>
      </w:r>
      <w:r w:rsidR="1FC920B0" w:rsidRPr="64AEBB98">
        <w:t>ontinuously improving practice</w:t>
      </w:r>
      <w:r w:rsidR="55CEDA42" w:rsidRPr="64AEBB98">
        <w:t>.</w:t>
      </w:r>
    </w:p>
    <w:p w14:paraId="6A72FDF9" w14:textId="4B89C3E9" w:rsidR="00853391" w:rsidRPr="00BA6DEA" w:rsidRDefault="1FC920B0" w:rsidP="008E516A">
      <w:pPr>
        <w:pStyle w:val="Heading2"/>
      </w:pPr>
      <w:bookmarkStart w:id="9" w:name="_Toc173763662"/>
      <w:r w:rsidRPr="00BA6DEA">
        <w:t xml:space="preserve">Toolkit </w:t>
      </w:r>
      <w:r w:rsidR="0A508B3F" w:rsidRPr="00BA6DEA">
        <w:t>r</w:t>
      </w:r>
      <w:r w:rsidRPr="00BA6DEA">
        <w:t>esources</w:t>
      </w:r>
      <w:bookmarkEnd w:id="9"/>
    </w:p>
    <w:p w14:paraId="588637F9" w14:textId="13DCFE04" w:rsidR="00853391" w:rsidRPr="00FD3223" w:rsidRDefault="1FC920B0" w:rsidP="00115F14">
      <w:pPr>
        <w:rPr>
          <w:rFonts w:cs="Arial"/>
        </w:rPr>
      </w:pPr>
      <w:r w:rsidRPr="002C2CA1">
        <w:rPr>
          <w:rFonts w:cs="Arial"/>
        </w:rPr>
        <w:t xml:space="preserve">The Toolkit </w:t>
      </w:r>
      <w:r w:rsidR="0A508B3F" w:rsidRPr="002C2CA1">
        <w:rPr>
          <w:rFonts w:cs="Arial"/>
        </w:rPr>
        <w:t>r</w:t>
      </w:r>
      <w:r w:rsidRPr="002C2CA1">
        <w:rPr>
          <w:rFonts w:cs="Arial"/>
        </w:rPr>
        <w:t xml:space="preserve">esources are based on the </w:t>
      </w:r>
      <w:hyperlink r:id="rId18" w:history="1">
        <w:r w:rsidRPr="002C2CA1">
          <w:rPr>
            <w:rStyle w:val="Hyperlink"/>
            <w:rFonts w:cs="Arial"/>
          </w:rPr>
          <w:t xml:space="preserve">2020 Review of the Disability </w:t>
        </w:r>
        <w:r w:rsidR="0062184B" w:rsidRPr="002C2CA1">
          <w:rPr>
            <w:rStyle w:val="Hyperlink"/>
            <w:rFonts w:cs="Arial"/>
          </w:rPr>
          <w:t xml:space="preserve">Standards for </w:t>
        </w:r>
        <w:r w:rsidRPr="002C2CA1">
          <w:rPr>
            <w:rStyle w:val="Hyperlink"/>
            <w:rFonts w:cs="Arial"/>
          </w:rPr>
          <w:t>Education</w:t>
        </w:r>
        <w:r w:rsidR="0062184B" w:rsidRPr="002C2CA1">
          <w:rPr>
            <w:rStyle w:val="Hyperlink"/>
            <w:rFonts w:cs="Arial"/>
          </w:rPr>
          <w:t xml:space="preserve"> 2005</w:t>
        </w:r>
      </w:hyperlink>
      <w:r w:rsidRPr="002C2CA1">
        <w:rPr>
          <w:rFonts w:cs="Arial"/>
        </w:rPr>
        <w:t>, analyses of recent research and industry reports, the experiences</w:t>
      </w:r>
      <w:r w:rsidRPr="64AEBB98">
        <w:rPr>
          <w:rFonts w:cs="Arial"/>
        </w:rPr>
        <w:t xml:space="preserve"> of VET staff and practitioners, and guidance from sector specialists. The resources include</w:t>
      </w:r>
      <w:r w:rsidR="00247FE7">
        <w:rPr>
          <w:rFonts w:cs="Arial"/>
        </w:rPr>
        <w:t xml:space="preserve"> practice</w:t>
      </w:r>
      <w:r w:rsidR="00797ACF">
        <w:rPr>
          <w:rFonts w:cs="Arial"/>
        </w:rPr>
        <w:t xml:space="preserve"> guides, </w:t>
      </w:r>
      <w:r w:rsidR="00247FE7">
        <w:rPr>
          <w:rFonts w:cs="Arial"/>
        </w:rPr>
        <w:t>illustrations</w:t>
      </w:r>
      <w:r w:rsidR="00797ACF">
        <w:rPr>
          <w:rFonts w:cs="Arial"/>
        </w:rPr>
        <w:t>, sel</w:t>
      </w:r>
      <w:r w:rsidR="00247FE7">
        <w:rPr>
          <w:rFonts w:cs="Arial"/>
        </w:rPr>
        <w:t>f-checks, templates and examples.</w:t>
      </w:r>
    </w:p>
    <w:p w14:paraId="301E2D04" w14:textId="12428B99" w:rsidR="00853391" w:rsidRPr="00D06B84" w:rsidRDefault="009A4ECF" w:rsidP="00207E78">
      <w:pPr>
        <w:pStyle w:val="Heading3"/>
      </w:pPr>
      <w:r w:rsidRPr="006C320A">
        <w:t xml:space="preserve">Practice </w:t>
      </w:r>
      <w:r w:rsidR="00D85EAF" w:rsidRPr="006C320A">
        <w:t>g</w:t>
      </w:r>
      <w:r w:rsidRPr="006C320A">
        <w:t>uides</w:t>
      </w:r>
    </w:p>
    <w:p w14:paraId="10B1B8F7" w14:textId="49E0E826" w:rsidR="00853391" w:rsidRPr="00FD3223" w:rsidRDefault="00ED1674" w:rsidP="00115F14">
      <w:hyperlink r:id="rId19" w:history="1">
        <w:r w:rsidR="1FC920B0" w:rsidRPr="006C320A">
          <w:rPr>
            <w:rStyle w:val="Hyperlink"/>
          </w:rPr>
          <w:t xml:space="preserve">Practice </w:t>
        </w:r>
        <w:r w:rsidR="6EDE9F99" w:rsidRPr="006C320A">
          <w:rPr>
            <w:rStyle w:val="Hyperlink"/>
          </w:rPr>
          <w:t>g</w:t>
        </w:r>
        <w:r w:rsidR="1FC920B0" w:rsidRPr="006C320A">
          <w:rPr>
            <w:rStyle w:val="Hyperlink"/>
          </w:rPr>
          <w:t>uides</w:t>
        </w:r>
      </w:hyperlink>
      <w:r w:rsidR="1FC920B0" w:rsidRPr="1767BDA5">
        <w:t xml:space="preserve"> are based on the key steps of the learner journey and aligned to the </w:t>
      </w:r>
      <w:r w:rsidR="009A4ECF" w:rsidRPr="1767BDA5">
        <w:t xml:space="preserve">DDA and </w:t>
      </w:r>
      <w:proofErr w:type="spellStart"/>
      <w:r w:rsidR="009A4ECF" w:rsidRPr="1767BDA5">
        <w:t>DSE</w:t>
      </w:r>
      <w:proofErr w:type="spellEnd"/>
      <w:r w:rsidR="1FC920B0" w:rsidRPr="1767BDA5">
        <w:t>. Each guide focuses on a specific step in the student’s learning journey</w:t>
      </w:r>
      <w:r w:rsidR="009A4ECF" w:rsidRPr="1767BDA5">
        <w:t xml:space="preserve">. Each guide </w:t>
      </w:r>
      <w:r w:rsidR="1FC920B0" w:rsidRPr="1767BDA5">
        <w:t>present</w:t>
      </w:r>
      <w:r w:rsidR="009A4ECF" w:rsidRPr="1767BDA5">
        <w:t>s</w:t>
      </w:r>
      <w:r w:rsidR="1FC920B0" w:rsidRPr="1767BDA5">
        <w:t xml:space="preserve"> an overview of the practice</w:t>
      </w:r>
      <w:r w:rsidR="009A4ECF" w:rsidRPr="1767BDA5">
        <w:t>, an explanation of the practice, practice</w:t>
      </w:r>
      <w:r w:rsidR="1FC920B0" w:rsidRPr="1767BDA5">
        <w:t xml:space="preserve"> considerations and checkpoints, </w:t>
      </w:r>
      <w:r w:rsidR="6EDE9F99" w:rsidRPr="1767BDA5">
        <w:t xml:space="preserve">and </w:t>
      </w:r>
      <w:r w:rsidR="1FC920B0" w:rsidRPr="1767BDA5">
        <w:t>a summary of how they relate to the regulatory framework</w:t>
      </w:r>
      <w:r w:rsidR="6EDE9F99" w:rsidRPr="1767BDA5">
        <w:t>.</w:t>
      </w:r>
      <w:r w:rsidR="1FC920B0" w:rsidRPr="1767BDA5">
        <w:t xml:space="preserve"> </w:t>
      </w:r>
      <w:r w:rsidR="6EDE9F99" w:rsidRPr="1767BDA5">
        <w:t xml:space="preserve">They also </w:t>
      </w:r>
      <w:r w:rsidR="1FC920B0" w:rsidRPr="1767BDA5">
        <w:t xml:space="preserve">recommend free accessible resources and training for RTO staff, trainers </w:t>
      </w:r>
      <w:r w:rsidR="53314517" w:rsidRPr="1767BDA5">
        <w:t>and</w:t>
      </w:r>
      <w:r w:rsidR="1FC920B0" w:rsidRPr="1767BDA5">
        <w:t xml:space="preserve"> assessors. The aim is to better support students with disability and for RTOs to meet their obligations as outlined in the </w:t>
      </w:r>
      <w:r w:rsidR="009A4ECF" w:rsidRPr="1767BDA5">
        <w:t>DDA</w:t>
      </w:r>
      <w:r w:rsidR="1FC920B0" w:rsidRPr="1767BDA5">
        <w:t xml:space="preserve">, </w:t>
      </w:r>
      <w:proofErr w:type="spellStart"/>
      <w:r w:rsidR="009A4ECF" w:rsidRPr="1767BDA5">
        <w:t>DSE</w:t>
      </w:r>
      <w:proofErr w:type="spellEnd"/>
      <w:r w:rsidR="009A4ECF" w:rsidRPr="1767BDA5">
        <w:t xml:space="preserve"> </w:t>
      </w:r>
      <w:r w:rsidR="1FC920B0" w:rsidRPr="1767BDA5">
        <w:t>and Standards for RTOs</w:t>
      </w:r>
      <w:r w:rsidR="42B7D4AE" w:rsidRPr="1767BDA5">
        <w:t xml:space="preserve"> 2015</w:t>
      </w:r>
      <w:r w:rsidR="1FC920B0" w:rsidRPr="1767BDA5">
        <w:t>.</w:t>
      </w:r>
    </w:p>
    <w:p w14:paraId="4AD7D98D" w14:textId="3687227C" w:rsidR="00807971" w:rsidRDefault="1FC920B0" w:rsidP="00207E78">
      <w:pPr>
        <w:pStyle w:val="Heading3"/>
      </w:pPr>
      <w:r w:rsidRPr="006C320A">
        <w:t xml:space="preserve">Practice </w:t>
      </w:r>
      <w:r w:rsidR="59F46BE6" w:rsidRPr="006C320A">
        <w:t>i</w:t>
      </w:r>
      <w:r w:rsidRPr="006C320A">
        <w:t>llustrations</w:t>
      </w:r>
    </w:p>
    <w:p w14:paraId="753F9AF7" w14:textId="03AC4926" w:rsidR="00853391" w:rsidRDefault="00ED1674" w:rsidP="00115F14">
      <w:hyperlink r:id="rId20" w:history="1">
        <w:r w:rsidR="009A4ECF" w:rsidRPr="006C320A">
          <w:rPr>
            <w:rStyle w:val="Hyperlink"/>
          </w:rPr>
          <w:t xml:space="preserve">Practice </w:t>
        </w:r>
        <w:r w:rsidR="00732620" w:rsidRPr="006C320A">
          <w:rPr>
            <w:rStyle w:val="Hyperlink"/>
          </w:rPr>
          <w:t>i</w:t>
        </w:r>
        <w:r w:rsidR="009A4ECF" w:rsidRPr="006C320A">
          <w:rPr>
            <w:rStyle w:val="Hyperlink"/>
          </w:rPr>
          <w:t>llustrations</w:t>
        </w:r>
      </w:hyperlink>
      <w:r w:rsidR="009A4ECF" w:rsidRPr="00FD3223">
        <w:t xml:space="preserve"> provide examples </w:t>
      </w:r>
      <w:r w:rsidR="00D177B7">
        <w:t xml:space="preserve">of situations </w:t>
      </w:r>
      <w:r w:rsidR="009A4ECF" w:rsidRPr="00FD3223">
        <w:t>that may occur for students with disability</w:t>
      </w:r>
      <w:r w:rsidR="006815CF">
        <w:t xml:space="preserve"> during their student journey in the VET sector. </w:t>
      </w:r>
      <w:r w:rsidR="009A4ECF" w:rsidRPr="00FD3223">
        <w:t>These illustrations guide and support RTOs and their staff</w:t>
      </w:r>
      <w:r w:rsidR="006652E1" w:rsidRPr="00FD3223">
        <w:t>,</w:t>
      </w:r>
      <w:r w:rsidR="009A4ECF" w:rsidRPr="00FD3223">
        <w:t xml:space="preserve"> </w:t>
      </w:r>
      <w:r w:rsidR="006652E1" w:rsidRPr="00FD3223">
        <w:t>including</w:t>
      </w:r>
      <w:r w:rsidR="009A4ECF" w:rsidRPr="00FD3223">
        <w:t xml:space="preserve"> disability practitioners, </w:t>
      </w:r>
      <w:r w:rsidR="00F3094D">
        <w:t>t</w:t>
      </w:r>
      <w:r w:rsidR="009A4ECF" w:rsidRPr="00FD3223">
        <w:t xml:space="preserve">rainers </w:t>
      </w:r>
      <w:r w:rsidR="00F3094D">
        <w:t>and</w:t>
      </w:r>
      <w:r w:rsidR="009A4ECF" w:rsidRPr="00FD3223">
        <w:t xml:space="preserve"> </w:t>
      </w:r>
      <w:r w:rsidR="00F3094D">
        <w:t>a</w:t>
      </w:r>
      <w:r w:rsidR="009A4ECF" w:rsidRPr="00FD3223">
        <w:t xml:space="preserve">ssessors, </w:t>
      </w:r>
      <w:r w:rsidR="004751A6">
        <w:t>as well as those in</w:t>
      </w:r>
      <w:r w:rsidR="00F3094D">
        <w:t xml:space="preserve"> administration and </w:t>
      </w:r>
      <w:r w:rsidR="009A4ECF" w:rsidRPr="00FD3223">
        <w:t>compliance/governance.</w:t>
      </w:r>
    </w:p>
    <w:p w14:paraId="2428FCC1" w14:textId="00A7FFCF" w:rsidR="00853391" w:rsidRPr="00FD3223" w:rsidRDefault="1FC920B0" w:rsidP="00115F14">
      <w:r w:rsidRPr="1767BDA5">
        <w:t xml:space="preserve">The </w:t>
      </w:r>
      <w:r w:rsidR="187320A5" w:rsidRPr="1767BDA5">
        <w:t>p</w:t>
      </w:r>
      <w:r w:rsidRPr="1767BDA5">
        <w:t xml:space="preserve">ractice </w:t>
      </w:r>
      <w:r w:rsidR="187320A5" w:rsidRPr="1767BDA5">
        <w:t>i</w:t>
      </w:r>
      <w:r w:rsidRPr="1767BDA5">
        <w:t xml:space="preserve">llustrations show the links to the </w:t>
      </w:r>
      <w:r w:rsidR="009A4ECF" w:rsidRPr="1767BDA5">
        <w:t>DDA</w:t>
      </w:r>
      <w:r w:rsidRPr="1767BDA5">
        <w:t xml:space="preserve">, </w:t>
      </w:r>
      <w:proofErr w:type="spellStart"/>
      <w:r w:rsidR="009A4ECF" w:rsidRPr="1767BDA5">
        <w:t>DSE</w:t>
      </w:r>
      <w:proofErr w:type="spellEnd"/>
      <w:r w:rsidRPr="1767BDA5">
        <w:t xml:space="preserve"> and Standards for RTOs 2015. </w:t>
      </w:r>
      <w:r w:rsidR="6D84E123" w:rsidRPr="1767BDA5">
        <w:t>In</w:t>
      </w:r>
      <w:r w:rsidRPr="1767BDA5">
        <w:t xml:space="preserve"> addition, </w:t>
      </w:r>
      <w:r w:rsidR="187320A5" w:rsidRPr="1767BDA5">
        <w:t>they</w:t>
      </w:r>
      <w:r w:rsidRPr="1767BDA5">
        <w:t xml:space="preserve"> aim to build the capability of RTO staff</w:t>
      </w:r>
      <w:r w:rsidR="59844450" w:rsidRPr="1767BDA5">
        <w:t>, t</w:t>
      </w:r>
      <w:r w:rsidRPr="1767BDA5">
        <w:t xml:space="preserve">rainers </w:t>
      </w:r>
      <w:r w:rsidR="59844450" w:rsidRPr="1767BDA5">
        <w:t>and</w:t>
      </w:r>
      <w:r w:rsidRPr="1767BDA5">
        <w:t xml:space="preserve"> </w:t>
      </w:r>
      <w:r w:rsidR="59844450" w:rsidRPr="1767BDA5">
        <w:t>a</w:t>
      </w:r>
      <w:r w:rsidRPr="1767BDA5">
        <w:t xml:space="preserve">ssessors to understand their obligations under the </w:t>
      </w:r>
      <w:proofErr w:type="spellStart"/>
      <w:r w:rsidR="009A4ECF" w:rsidRPr="1767BDA5">
        <w:t>DSE</w:t>
      </w:r>
      <w:proofErr w:type="spellEnd"/>
      <w:r w:rsidRPr="1767BDA5">
        <w:t xml:space="preserve"> and confidently</w:t>
      </w:r>
      <w:r w:rsidR="6D84E123" w:rsidRPr="1767BDA5">
        <w:t xml:space="preserve"> </w:t>
      </w:r>
      <w:r w:rsidRPr="1767BDA5">
        <w:t>support students with disability.</w:t>
      </w:r>
    </w:p>
    <w:p w14:paraId="537537E0" w14:textId="23A6238D" w:rsidR="00853391" w:rsidRPr="00247FE7" w:rsidRDefault="00040D8A" w:rsidP="00207E78">
      <w:pPr>
        <w:pStyle w:val="Heading3"/>
      </w:pPr>
      <w:r w:rsidRPr="006C320A">
        <w:t xml:space="preserve">Practice </w:t>
      </w:r>
      <w:r w:rsidR="00D85EAF" w:rsidRPr="006C320A">
        <w:t>s</w:t>
      </w:r>
      <w:r w:rsidR="009A4ECF" w:rsidRPr="006C320A">
        <w:t>elf-</w:t>
      </w:r>
      <w:r w:rsidR="00D85EAF" w:rsidRPr="006C320A">
        <w:t>c</w:t>
      </w:r>
      <w:r w:rsidR="009A4ECF" w:rsidRPr="006C320A">
        <w:t>heck</w:t>
      </w:r>
      <w:r w:rsidRPr="006C320A">
        <w:t>s</w:t>
      </w:r>
    </w:p>
    <w:p w14:paraId="01B36101" w14:textId="72C26219" w:rsidR="00807971" w:rsidRDefault="42B7D4AE" w:rsidP="00115F14">
      <w:pPr>
        <w:rPr>
          <w:lang w:eastAsia="en-US"/>
        </w:rPr>
      </w:pPr>
      <w:r w:rsidRPr="1767BDA5">
        <w:rPr>
          <w:lang w:eastAsia="en-US"/>
        </w:rPr>
        <w:t xml:space="preserve">The </w:t>
      </w:r>
      <w:hyperlink r:id="rId21" w:history="1">
        <w:r w:rsidRPr="006C320A">
          <w:rPr>
            <w:rStyle w:val="Hyperlink"/>
            <w:lang w:eastAsia="en-US"/>
          </w:rPr>
          <w:t xml:space="preserve">Trainer </w:t>
        </w:r>
        <w:r w:rsidR="7112A55E" w:rsidRPr="006C320A">
          <w:rPr>
            <w:rStyle w:val="Hyperlink"/>
            <w:lang w:eastAsia="en-US"/>
          </w:rPr>
          <w:t>and</w:t>
        </w:r>
        <w:r w:rsidRPr="006C320A">
          <w:rPr>
            <w:rStyle w:val="Hyperlink"/>
            <w:lang w:eastAsia="en-US"/>
          </w:rPr>
          <w:t xml:space="preserve"> Assessor Self-</w:t>
        </w:r>
        <w:r w:rsidR="530BB385" w:rsidRPr="006C320A">
          <w:rPr>
            <w:rStyle w:val="Hyperlink"/>
            <w:lang w:eastAsia="en-US"/>
          </w:rPr>
          <w:t>C</w:t>
        </w:r>
        <w:r w:rsidRPr="006C320A">
          <w:rPr>
            <w:rStyle w:val="Hyperlink"/>
            <w:lang w:eastAsia="en-US"/>
          </w:rPr>
          <w:t>heck</w:t>
        </w:r>
      </w:hyperlink>
      <w:r w:rsidRPr="1767BDA5">
        <w:rPr>
          <w:lang w:eastAsia="en-US"/>
        </w:rPr>
        <w:t xml:space="preserve"> aims to help individuals reflect </w:t>
      </w:r>
      <w:r w:rsidR="7112A55E" w:rsidRPr="1767BDA5">
        <w:rPr>
          <w:lang w:eastAsia="en-US"/>
        </w:rPr>
        <w:t>on</w:t>
      </w:r>
      <w:r w:rsidRPr="1767BDA5">
        <w:rPr>
          <w:lang w:eastAsia="en-US"/>
        </w:rPr>
        <w:t xml:space="preserve"> </w:t>
      </w:r>
      <w:r w:rsidR="4D3289A9" w:rsidRPr="1767BDA5">
        <w:rPr>
          <w:lang w:eastAsia="en-US"/>
        </w:rPr>
        <w:t xml:space="preserve">and assess </w:t>
      </w:r>
      <w:r w:rsidRPr="1767BDA5">
        <w:rPr>
          <w:lang w:eastAsia="en-US"/>
        </w:rPr>
        <w:t xml:space="preserve">their responsiveness and capability to support students with disability. </w:t>
      </w:r>
      <w:r w:rsidR="3AC43C8D" w:rsidRPr="1767BDA5">
        <w:rPr>
          <w:lang w:eastAsia="en-US"/>
        </w:rPr>
        <w:t>It also identifies the ways in which</w:t>
      </w:r>
      <w:r w:rsidRPr="1767BDA5">
        <w:rPr>
          <w:lang w:eastAsia="en-US"/>
        </w:rPr>
        <w:t xml:space="preserve"> individual training and assessment practice supports the requirements of the </w:t>
      </w:r>
      <w:r w:rsidR="00040D8A" w:rsidRPr="1767BDA5">
        <w:rPr>
          <w:lang w:eastAsia="en-US"/>
        </w:rPr>
        <w:t xml:space="preserve">DDA and the </w:t>
      </w:r>
      <w:proofErr w:type="spellStart"/>
      <w:r w:rsidR="00040D8A" w:rsidRPr="1767BDA5">
        <w:rPr>
          <w:lang w:eastAsia="en-US"/>
        </w:rPr>
        <w:t>DSE</w:t>
      </w:r>
      <w:proofErr w:type="spellEnd"/>
      <w:r w:rsidRPr="1767BDA5">
        <w:rPr>
          <w:lang w:eastAsia="en-US"/>
        </w:rPr>
        <w:t>.</w:t>
      </w:r>
    </w:p>
    <w:p w14:paraId="4BDBE705" w14:textId="58F07DE9" w:rsidR="00807971" w:rsidRDefault="42B7D4AE" w:rsidP="00115F14">
      <w:pPr>
        <w:rPr>
          <w:lang w:eastAsia="en-US"/>
        </w:rPr>
      </w:pPr>
      <w:bookmarkStart w:id="10" w:name="_Hlk102837869"/>
      <w:r w:rsidRPr="1767BDA5">
        <w:rPr>
          <w:lang w:eastAsia="en-US"/>
        </w:rPr>
        <w:t xml:space="preserve">The </w:t>
      </w:r>
      <w:hyperlink r:id="rId22" w:history="1">
        <w:r w:rsidRPr="0008096C">
          <w:rPr>
            <w:rStyle w:val="Hyperlink"/>
            <w:rFonts w:eastAsiaTheme="minorEastAsia"/>
            <w:lang w:eastAsia="en-US"/>
          </w:rPr>
          <w:t>RTO Self-</w:t>
        </w:r>
        <w:r w:rsidR="530BB385" w:rsidRPr="0008096C">
          <w:rPr>
            <w:rStyle w:val="Hyperlink"/>
            <w:rFonts w:eastAsiaTheme="minorEastAsia"/>
            <w:lang w:eastAsia="en-US"/>
          </w:rPr>
          <w:t>C</w:t>
        </w:r>
        <w:r w:rsidRPr="0008096C">
          <w:rPr>
            <w:rStyle w:val="Hyperlink"/>
            <w:rFonts w:eastAsiaTheme="minorEastAsia"/>
            <w:lang w:eastAsia="en-US"/>
          </w:rPr>
          <w:t>heck</w:t>
        </w:r>
      </w:hyperlink>
      <w:r w:rsidRPr="1767BDA5">
        <w:rPr>
          <w:lang w:eastAsia="en-US"/>
        </w:rPr>
        <w:t xml:space="preserve"> aims to help</w:t>
      </w:r>
      <w:r w:rsidR="00040D8A" w:rsidRPr="1767BDA5">
        <w:rPr>
          <w:lang w:eastAsia="en-US"/>
        </w:rPr>
        <w:t xml:space="preserve"> an</w:t>
      </w:r>
      <w:r w:rsidRPr="1767BDA5">
        <w:rPr>
          <w:lang w:eastAsia="en-US"/>
        </w:rPr>
        <w:t xml:space="preserve"> RTO to reflect </w:t>
      </w:r>
      <w:r w:rsidR="4D3289A9" w:rsidRPr="1767BDA5">
        <w:rPr>
          <w:lang w:eastAsia="en-US"/>
        </w:rPr>
        <w:t xml:space="preserve">on </w:t>
      </w:r>
      <w:r w:rsidRPr="1767BDA5">
        <w:rPr>
          <w:lang w:eastAsia="en-US"/>
        </w:rPr>
        <w:t xml:space="preserve">and assess the organisation’s responsiveness and capability to support students with disability. </w:t>
      </w:r>
      <w:r w:rsidR="1FDF39A5" w:rsidRPr="1767BDA5">
        <w:rPr>
          <w:lang w:eastAsia="en-US"/>
        </w:rPr>
        <w:t>Like the Trainer and Assessor Self-</w:t>
      </w:r>
      <w:r w:rsidR="530BB385" w:rsidRPr="1767BDA5">
        <w:rPr>
          <w:lang w:eastAsia="en-US"/>
        </w:rPr>
        <w:t>C</w:t>
      </w:r>
      <w:r w:rsidR="1FDF39A5" w:rsidRPr="1767BDA5">
        <w:rPr>
          <w:lang w:eastAsia="en-US"/>
        </w:rPr>
        <w:t>heck, i</w:t>
      </w:r>
      <w:r w:rsidR="3EB39E3B" w:rsidRPr="1767BDA5">
        <w:rPr>
          <w:lang w:eastAsia="en-US"/>
        </w:rPr>
        <w:t>t also identifies the ways in which</w:t>
      </w:r>
      <w:r w:rsidRPr="1767BDA5">
        <w:rPr>
          <w:lang w:eastAsia="en-US"/>
        </w:rPr>
        <w:t xml:space="preserve"> the organisation is meeting the requirements of the </w:t>
      </w:r>
      <w:r w:rsidR="00040D8A" w:rsidRPr="1767BDA5">
        <w:rPr>
          <w:lang w:eastAsia="en-US"/>
        </w:rPr>
        <w:t xml:space="preserve">DDA and the </w:t>
      </w:r>
      <w:proofErr w:type="spellStart"/>
      <w:r w:rsidR="00040D8A" w:rsidRPr="1767BDA5">
        <w:rPr>
          <w:lang w:eastAsia="en-US"/>
        </w:rPr>
        <w:t>DSE</w:t>
      </w:r>
      <w:proofErr w:type="spellEnd"/>
      <w:r w:rsidRPr="1767BDA5">
        <w:rPr>
          <w:lang w:eastAsia="en-US"/>
        </w:rPr>
        <w:t>.</w:t>
      </w:r>
      <w:bookmarkEnd w:id="10"/>
    </w:p>
    <w:p w14:paraId="2380B7C3" w14:textId="3B481DD6" w:rsidR="00040D8A" w:rsidRPr="00040D8A" w:rsidRDefault="42B7D4AE" w:rsidP="00115F14">
      <w:pPr>
        <w:rPr>
          <w:lang w:eastAsia="en-US"/>
        </w:rPr>
      </w:pPr>
      <w:r w:rsidRPr="1767BDA5">
        <w:rPr>
          <w:lang w:eastAsia="en-US"/>
        </w:rPr>
        <w:t xml:space="preserve">The </w:t>
      </w:r>
      <w:r w:rsidR="451B53B5" w:rsidRPr="1767BDA5">
        <w:rPr>
          <w:lang w:eastAsia="en-US"/>
        </w:rPr>
        <w:t>s</w:t>
      </w:r>
      <w:r w:rsidRPr="1767BDA5">
        <w:rPr>
          <w:lang w:eastAsia="en-US"/>
        </w:rPr>
        <w:t>elf-</w:t>
      </w:r>
      <w:r w:rsidR="451B53B5" w:rsidRPr="1767BDA5">
        <w:rPr>
          <w:lang w:eastAsia="en-US"/>
        </w:rPr>
        <w:t>c</w:t>
      </w:r>
      <w:r w:rsidRPr="1767BDA5">
        <w:rPr>
          <w:lang w:eastAsia="en-US"/>
        </w:rPr>
        <w:t>hecks cover each area of the student journey as they are aligned to the</w:t>
      </w:r>
      <w:r w:rsidR="00040D8A" w:rsidRPr="1767BDA5">
        <w:rPr>
          <w:lang w:eastAsia="en-US"/>
        </w:rPr>
        <w:t xml:space="preserve"> DDA and </w:t>
      </w:r>
      <w:proofErr w:type="spellStart"/>
      <w:r w:rsidR="00040D8A" w:rsidRPr="1767BDA5">
        <w:rPr>
          <w:lang w:eastAsia="en-US"/>
        </w:rPr>
        <w:t>DSE</w:t>
      </w:r>
      <w:proofErr w:type="spellEnd"/>
      <w:r w:rsidR="00040D8A" w:rsidRPr="1767BDA5">
        <w:rPr>
          <w:lang w:eastAsia="en-US"/>
        </w:rPr>
        <w:t xml:space="preserve"> requirements</w:t>
      </w:r>
      <w:r w:rsidRPr="1767BDA5">
        <w:rPr>
          <w:lang w:eastAsia="en-US"/>
        </w:rPr>
        <w:t xml:space="preserve">. The practice indicators should help prompt reflection, </w:t>
      </w:r>
      <w:r w:rsidRPr="1767BDA5">
        <w:rPr>
          <w:lang w:eastAsia="en-US"/>
        </w:rPr>
        <w:lastRenderedPageBreak/>
        <w:t xml:space="preserve">guide practice and professional development to build capability in inclusive education and training, </w:t>
      </w:r>
      <w:r w:rsidR="451B53B5" w:rsidRPr="1767BDA5">
        <w:rPr>
          <w:lang w:eastAsia="en-US"/>
        </w:rPr>
        <w:t xml:space="preserve">as well as </w:t>
      </w:r>
      <w:r w:rsidRPr="1767BDA5">
        <w:rPr>
          <w:lang w:eastAsia="en-US"/>
        </w:rPr>
        <w:t>increase accountability.</w:t>
      </w:r>
    </w:p>
    <w:p w14:paraId="7BC7177F" w14:textId="7B5699DC" w:rsidR="00853391" w:rsidRPr="00BA6DEA" w:rsidRDefault="009A4ECF" w:rsidP="00207E78">
      <w:pPr>
        <w:pStyle w:val="Heading3"/>
      </w:pPr>
      <w:r w:rsidRPr="0059518E">
        <w:t xml:space="preserve">Templates and </w:t>
      </w:r>
      <w:r w:rsidR="006815CF" w:rsidRPr="0059518E">
        <w:t>examples</w:t>
      </w:r>
    </w:p>
    <w:p w14:paraId="6E6AF5AD" w14:textId="23E38539" w:rsidR="0058454B" w:rsidRPr="00CC1690" w:rsidRDefault="00ED1674" w:rsidP="00115F14">
      <w:pPr>
        <w:rPr>
          <w:rStyle w:val="Strong"/>
          <w:b w:val="0"/>
          <w:bCs w:val="0"/>
        </w:rPr>
      </w:pPr>
      <w:hyperlink r:id="rId23" w:history="1">
        <w:r w:rsidR="2764596A" w:rsidRPr="0059518E">
          <w:rPr>
            <w:rStyle w:val="Hyperlink"/>
          </w:rPr>
          <w:t>D</w:t>
        </w:r>
        <w:r w:rsidR="6D84E123" w:rsidRPr="0059518E">
          <w:rPr>
            <w:rStyle w:val="Hyperlink"/>
          </w:rPr>
          <w:t>ownloadable</w:t>
        </w:r>
        <w:r w:rsidR="1FC920B0" w:rsidRPr="0059518E">
          <w:rPr>
            <w:rStyle w:val="Hyperlink"/>
          </w:rPr>
          <w:t xml:space="preserve"> templates</w:t>
        </w:r>
      </w:hyperlink>
      <w:r w:rsidR="1FC920B0" w:rsidRPr="1767BDA5">
        <w:t xml:space="preserve"> are </w:t>
      </w:r>
      <w:r w:rsidR="6D84E123" w:rsidRPr="1767BDA5">
        <w:t xml:space="preserve">available </w:t>
      </w:r>
      <w:r w:rsidR="00B67CC8" w:rsidRPr="1767BDA5">
        <w:t>to</w:t>
      </w:r>
      <w:r w:rsidR="1FC920B0" w:rsidRPr="1767BDA5">
        <w:t xml:space="preserve"> </w:t>
      </w:r>
      <w:r w:rsidR="1AFFC889" w:rsidRPr="1767BDA5">
        <w:t xml:space="preserve">illustrate </w:t>
      </w:r>
      <w:r w:rsidR="1FC920B0" w:rsidRPr="1767BDA5">
        <w:t>how evidence</w:t>
      </w:r>
      <w:r w:rsidR="53314517" w:rsidRPr="1767BDA5">
        <w:t xml:space="preserve"> </w:t>
      </w:r>
      <w:r w:rsidR="1AFFC889" w:rsidRPr="1767BDA5">
        <w:t xml:space="preserve">of </w:t>
      </w:r>
      <w:r w:rsidR="1FC920B0" w:rsidRPr="1767BDA5">
        <w:t>practice</w:t>
      </w:r>
      <w:r w:rsidR="1AFFC889" w:rsidRPr="1767BDA5">
        <w:t xml:space="preserve"> </w:t>
      </w:r>
      <w:r w:rsidR="26F160A8" w:rsidRPr="1767BDA5">
        <w:t xml:space="preserve">can be recorded </w:t>
      </w:r>
      <w:r w:rsidR="1AFFC889" w:rsidRPr="1767BDA5">
        <w:t xml:space="preserve">and the ways in which </w:t>
      </w:r>
      <w:r w:rsidR="53314517" w:rsidRPr="1767BDA5">
        <w:t xml:space="preserve">an RTO </w:t>
      </w:r>
      <w:r w:rsidR="1FC920B0" w:rsidRPr="1767BDA5">
        <w:t xml:space="preserve">might demonstrate how </w:t>
      </w:r>
      <w:r w:rsidR="53314517" w:rsidRPr="1767BDA5">
        <w:t>it</w:t>
      </w:r>
      <w:r w:rsidR="1FC920B0" w:rsidRPr="1767BDA5">
        <w:t xml:space="preserve"> meet</w:t>
      </w:r>
      <w:r w:rsidR="53314517" w:rsidRPr="1767BDA5">
        <w:t>s</w:t>
      </w:r>
      <w:r w:rsidR="1FC920B0" w:rsidRPr="1767BDA5">
        <w:t xml:space="preserve"> the requirements of the </w:t>
      </w:r>
      <w:proofErr w:type="spellStart"/>
      <w:r w:rsidR="00B67CC8" w:rsidRPr="1767BDA5">
        <w:t>DSE</w:t>
      </w:r>
      <w:proofErr w:type="spellEnd"/>
      <w:r w:rsidR="1FC920B0" w:rsidRPr="1767BDA5">
        <w:t xml:space="preserve">. For each </w:t>
      </w:r>
      <w:r w:rsidR="365BE095" w:rsidRPr="1767BDA5">
        <w:t>t</w:t>
      </w:r>
      <w:r w:rsidR="1FC920B0" w:rsidRPr="1767BDA5">
        <w:t>emplate</w:t>
      </w:r>
      <w:r w:rsidR="6D84E123" w:rsidRPr="1767BDA5">
        <w:t>,</w:t>
      </w:r>
      <w:r w:rsidR="1FC920B0" w:rsidRPr="1767BDA5">
        <w:t xml:space="preserve"> there are exemplars of practice to </w:t>
      </w:r>
      <w:r w:rsidR="00C331F4" w:rsidRPr="1767BDA5">
        <w:t>guide completion</w:t>
      </w:r>
      <w:r w:rsidR="1FC920B0" w:rsidRPr="1767BDA5">
        <w:t xml:space="preserve">. </w:t>
      </w:r>
      <w:r w:rsidR="53314517" w:rsidRPr="1767BDA5">
        <w:t>T</w:t>
      </w:r>
      <w:r w:rsidR="1FC920B0" w:rsidRPr="1767BDA5">
        <w:t xml:space="preserve">emplates </w:t>
      </w:r>
      <w:r w:rsidR="53314517" w:rsidRPr="1767BDA5">
        <w:t xml:space="preserve">can be adapted </w:t>
      </w:r>
      <w:r w:rsidR="1FC920B0" w:rsidRPr="1767BDA5">
        <w:t>to meet organisation</w:t>
      </w:r>
      <w:r w:rsidR="53314517" w:rsidRPr="1767BDA5">
        <w:t>al</w:t>
      </w:r>
      <w:r w:rsidR="1FC920B0" w:rsidRPr="1767BDA5">
        <w:t xml:space="preserve"> requirements.</w:t>
      </w:r>
      <w:r w:rsidR="0058454B">
        <w:rPr>
          <w:rStyle w:val="Strong"/>
          <w:b w:val="0"/>
          <w:bCs w:val="0"/>
        </w:rPr>
        <w:br w:type="page"/>
      </w:r>
    </w:p>
    <w:p w14:paraId="0CF09E7E" w14:textId="16985E6B" w:rsidR="00853391" w:rsidRPr="00D06B84" w:rsidRDefault="009A4ECF" w:rsidP="008E516A">
      <w:pPr>
        <w:pStyle w:val="Heading1"/>
      </w:pPr>
      <w:bookmarkStart w:id="11" w:name="_Toc173763663"/>
      <w:r w:rsidRPr="00BA6DEA">
        <w:lastRenderedPageBreak/>
        <w:t>Glossary</w:t>
      </w:r>
      <w:bookmarkEnd w:id="11"/>
    </w:p>
    <w:p w14:paraId="05FD1075" w14:textId="2DEEFA64" w:rsidR="00853391" w:rsidRDefault="009A4ECF" w:rsidP="00115F14">
      <w:r w:rsidRPr="00FD3223">
        <w:t xml:space="preserve">An extensive glossary </w:t>
      </w:r>
      <w:r w:rsidR="00D47E8F">
        <w:t>defines</w:t>
      </w:r>
      <w:r w:rsidRPr="00FD3223">
        <w:t xml:space="preserve"> the terminology referred to in each of the resources.</w:t>
      </w:r>
    </w:p>
    <w:p w14:paraId="41B35AF0" w14:textId="77777777" w:rsidR="00807971" w:rsidRDefault="0058454B" w:rsidP="00115F14">
      <w:pPr>
        <w:rPr>
          <w:rStyle w:val="eop"/>
          <w:rFonts w:cs="Arial"/>
        </w:rPr>
      </w:pPr>
      <w:r>
        <w:rPr>
          <w:rStyle w:val="normaltextrun"/>
          <w:rFonts w:cs="Arial"/>
          <w:b/>
          <w:bCs/>
        </w:rPr>
        <w:t>Alternative/accessible formats</w:t>
      </w:r>
      <w:r>
        <w:rPr>
          <w:rStyle w:val="normaltextrun"/>
          <w:rFonts w:cs="Arial"/>
        </w:rPr>
        <w:t>: Material that has been reformatted to be accessible to people</w:t>
      </w:r>
      <w:r w:rsidR="00C80EB3">
        <w:rPr>
          <w:rStyle w:val="normaltextrun"/>
          <w:rFonts w:cs="Arial"/>
        </w:rPr>
        <w:t xml:space="preserve"> with a range of needs such as people </w:t>
      </w:r>
      <w:r w:rsidR="00B32472">
        <w:rPr>
          <w:rStyle w:val="normaltextrun"/>
          <w:rFonts w:cs="Arial"/>
        </w:rPr>
        <w:t xml:space="preserve">with learning disabilities, people </w:t>
      </w:r>
      <w:r w:rsidR="00635C2A">
        <w:rPr>
          <w:rStyle w:val="normaltextrun"/>
          <w:rFonts w:cs="Arial"/>
        </w:rPr>
        <w:t>w</w:t>
      </w:r>
      <w:r>
        <w:rPr>
          <w:rStyle w:val="normaltextrun"/>
          <w:rFonts w:cs="Arial"/>
        </w:rPr>
        <w:t>ho are blind or vision impaired</w:t>
      </w:r>
      <w:r w:rsidR="00647FF2">
        <w:rPr>
          <w:rStyle w:val="normaltextrun"/>
          <w:rFonts w:cs="Arial"/>
        </w:rPr>
        <w:t xml:space="preserve">, </w:t>
      </w:r>
      <w:r w:rsidR="00B32472">
        <w:rPr>
          <w:rStyle w:val="normaltextrun"/>
          <w:rFonts w:cs="Arial"/>
        </w:rPr>
        <w:t xml:space="preserve">or people who are </w:t>
      </w:r>
      <w:r w:rsidR="00647FF2">
        <w:rPr>
          <w:rStyle w:val="normaltextrun"/>
          <w:rFonts w:cs="Arial"/>
        </w:rPr>
        <w:t xml:space="preserve">Deaf or </w:t>
      </w:r>
      <w:r w:rsidR="00861172">
        <w:rPr>
          <w:rStyle w:val="normaltextrun"/>
          <w:rFonts w:cs="Arial"/>
        </w:rPr>
        <w:t>hard of hearing</w:t>
      </w:r>
      <w:r>
        <w:rPr>
          <w:rStyle w:val="normaltextrun"/>
          <w:rFonts w:cs="Arial"/>
        </w:rPr>
        <w:t>. Formats can include audio, braille, large print, Word format or tactile images.</w:t>
      </w:r>
    </w:p>
    <w:p w14:paraId="4C9CD556" w14:textId="77777777" w:rsidR="00807971" w:rsidRDefault="0058454B" w:rsidP="00115F14">
      <w:pPr>
        <w:rPr>
          <w:rStyle w:val="eop"/>
          <w:rFonts w:cs="Arial"/>
        </w:rPr>
      </w:pPr>
      <w:proofErr w:type="spellStart"/>
      <w:r>
        <w:rPr>
          <w:rStyle w:val="normaltextrun"/>
          <w:rFonts w:cs="Arial"/>
          <w:b/>
          <w:bCs/>
        </w:rPr>
        <w:t>ASQA</w:t>
      </w:r>
      <w:proofErr w:type="spellEnd"/>
      <w:r>
        <w:rPr>
          <w:rStyle w:val="normaltextrun"/>
          <w:rFonts w:cs="Arial"/>
        </w:rPr>
        <w:t xml:space="preserve">: Australian Skills Quality Authority. </w:t>
      </w:r>
      <w:proofErr w:type="spellStart"/>
      <w:r>
        <w:rPr>
          <w:rStyle w:val="normaltextrun"/>
          <w:rFonts w:cs="Arial"/>
        </w:rPr>
        <w:t>ASQA</w:t>
      </w:r>
      <w:proofErr w:type="spellEnd"/>
      <w:r>
        <w:rPr>
          <w:rStyle w:val="normaltextrun"/>
          <w:rFonts w:cs="Arial"/>
        </w:rPr>
        <w:t xml:space="preserve"> is the national regulator for Australia’s vocational education and training sector.</w:t>
      </w:r>
    </w:p>
    <w:p w14:paraId="37197455" w14:textId="77777777" w:rsidR="00807971" w:rsidRDefault="0058454B" w:rsidP="00115F14">
      <w:pPr>
        <w:rPr>
          <w:rStyle w:val="eop"/>
          <w:rFonts w:cs="Arial"/>
        </w:rPr>
      </w:pPr>
      <w:proofErr w:type="spellStart"/>
      <w:r>
        <w:rPr>
          <w:rStyle w:val="normaltextrun"/>
          <w:rFonts w:cs="Arial"/>
          <w:b/>
          <w:bCs/>
        </w:rPr>
        <w:t>AVETMISS</w:t>
      </w:r>
      <w:proofErr w:type="spellEnd"/>
      <w:r>
        <w:rPr>
          <w:rStyle w:val="normaltextrun"/>
          <w:rFonts w:cs="Arial"/>
          <w:b/>
          <w:bCs/>
        </w:rPr>
        <w:t>:</w:t>
      </w:r>
      <w:r>
        <w:rPr>
          <w:rStyle w:val="normaltextrun"/>
          <w:rFonts w:cs="Arial"/>
        </w:rPr>
        <w:t xml:space="preserve"> Australian Vocational Education and Training Management Information Statistical Standard. It is a national data standard which ensures the consistency and accuracy of vocational education and training (VET) information and covers the national VET data collections.</w:t>
      </w:r>
    </w:p>
    <w:p w14:paraId="45893648" w14:textId="77777777" w:rsidR="00807971" w:rsidRDefault="0058454B" w:rsidP="00115F14">
      <w:pPr>
        <w:rPr>
          <w:rStyle w:val="eop"/>
          <w:rFonts w:cs="Arial"/>
        </w:rPr>
      </w:pPr>
      <w:r>
        <w:rPr>
          <w:rStyle w:val="normaltextrun"/>
          <w:rFonts w:cs="Arial"/>
          <w:b/>
          <w:bCs/>
        </w:rPr>
        <w:t>Disability Access Plan</w:t>
      </w:r>
      <w:r>
        <w:rPr>
          <w:rStyle w:val="normaltextrun"/>
          <w:rFonts w:cs="Arial"/>
        </w:rPr>
        <w:t>: A document used to record reasonable adjustments to enable equitable participation in learning for students with disability.</w:t>
      </w:r>
    </w:p>
    <w:p w14:paraId="3FCC8681" w14:textId="4538DD3E" w:rsidR="00807971" w:rsidRPr="00CE3627" w:rsidRDefault="0058454B" w:rsidP="00115F14">
      <w:pPr>
        <w:rPr>
          <w:rStyle w:val="eop"/>
          <w:rFonts w:cs="Arial"/>
        </w:rPr>
      </w:pPr>
      <w:r>
        <w:rPr>
          <w:rStyle w:val="normaltextrun"/>
          <w:rFonts w:cs="Arial"/>
          <w:b/>
          <w:bCs/>
        </w:rPr>
        <w:t xml:space="preserve">DDA: </w:t>
      </w:r>
      <w:r>
        <w:rPr>
          <w:rStyle w:val="normaltextrun"/>
          <w:rFonts w:cs="Arial"/>
        </w:rPr>
        <w:t xml:space="preserve">The </w:t>
      </w:r>
      <w:r w:rsidRPr="00074894">
        <w:rPr>
          <w:rStyle w:val="normaltextrun"/>
          <w:rFonts w:cs="Arial"/>
          <w:i/>
          <w:iCs/>
        </w:rPr>
        <w:t>Disability Discrimination Act 1992 (</w:t>
      </w:r>
      <w:proofErr w:type="spellStart"/>
      <w:r w:rsidRPr="00074894">
        <w:rPr>
          <w:rStyle w:val="normaltextrun"/>
          <w:rFonts w:cs="Arial"/>
          <w:i/>
          <w:iCs/>
        </w:rPr>
        <w:t>Cth</w:t>
      </w:r>
      <w:proofErr w:type="spellEnd"/>
      <w:r w:rsidRPr="00074894">
        <w:rPr>
          <w:rStyle w:val="normaltextrun"/>
          <w:rFonts w:cs="Arial"/>
          <w:i/>
          <w:iCs/>
        </w:rPr>
        <w:t>)</w:t>
      </w:r>
      <w:r w:rsidR="00A85DC3">
        <w:rPr>
          <w:rStyle w:val="normaltextrun"/>
          <w:rFonts w:cs="Arial"/>
        </w:rPr>
        <w:t>.</w:t>
      </w:r>
    </w:p>
    <w:p w14:paraId="628900F0" w14:textId="77777777" w:rsidR="00807971" w:rsidRDefault="0058454B" w:rsidP="00115F14">
      <w:pPr>
        <w:rPr>
          <w:rStyle w:val="eop"/>
          <w:rFonts w:cs="Arial"/>
        </w:rPr>
      </w:pPr>
      <w:r>
        <w:rPr>
          <w:rStyle w:val="normaltextrun"/>
          <w:rFonts w:cs="Arial"/>
          <w:b/>
          <w:bCs/>
        </w:rPr>
        <w:t>Disability</w:t>
      </w:r>
      <w:r>
        <w:rPr>
          <w:rStyle w:val="normaltextrun"/>
          <w:rFonts w:cs="Arial"/>
        </w:rPr>
        <w:t xml:space="preserve">: Disability covers a range of impairments, activity limitations and participation restrictions. Section 4 of the </w:t>
      </w:r>
      <w:r>
        <w:rPr>
          <w:rStyle w:val="normaltextrun"/>
          <w:rFonts w:cs="Arial"/>
          <w:i/>
          <w:iCs/>
        </w:rPr>
        <w:t>Disability Discrimination Act 1992</w:t>
      </w:r>
      <w:r>
        <w:rPr>
          <w:rStyle w:val="normaltextrun"/>
          <w:rFonts w:cs="Arial"/>
        </w:rPr>
        <w:t xml:space="preserve"> </w:t>
      </w:r>
      <w:r w:rsidRPr="00297695">
        <w:rPr>
          <w:rStyle w:val="normaltextrun"/>
          <w:rFonts w:cs="Arial"/>
          <w:i/>
          <w:iCs/>
        </w:rPr>
        <w:t>(DDA)</w:t>
      </w:r>
      <w:r>
        <w:rPr>
          <w:rStyle w:val="normaltextrun"/>
          <w:rFonts w:cs="Arial"/>
        </w:rPr>
        <w:t xml:space="preserve"> defines disability. It includes a disability that a person presently has, previously had, may exist in the future, or is imputed.</w:t>
      </w:r>
    </w:p>
    <w:p w14:paraId="79F1542A" w14:textId="02858D4B" w:rsidR="00807971" w:rsidRDefault="0058454B" w:rsidP="00115F14">
      <w:pPr>
        <w:rPr>
          <w:rStyle w:val="eop"/>
          <w:rFonts w:cs="Arial"/>
        </w:rPr>
      </w:pPr>
      <w:proofErr w:type="spellStart"/>
      <w:r>
        <w:rPr>
          <w:rStyle w:val="normaltextrun"/>
          <w:rFonts w:cs="Arial"/>
          <w:b/>
          <w:bCs/>
        </w:rPr>
        <w:t>DSE</w:t>
      </w:r>
      <w:proofErr w:type="spellEnd"/>
      <w:r>
        <w:rPr>
          <w:rStyle w:val="normaltextrun"/>
          <w:rFonts w:cs="Arial"/>
        </w:rPr>
        <w:t xml:space="preserve">: The </w:t>
      </w:r>
      <w:r>
        <w:rPr>
          <w:rStyle w:val="normaltextrun"/>
          <w:rFonts w:cs="Arial"/>
          <w:i/>
          <w:iCs/>
        </w:rPr>
        <w:t xml:space="preserve">Disability Standards for Education </w:t>
      </w:r>
      <w:r w:rsidRPr="00F25891">
        <w:rPr>
          <w:rStyle w:val="normaltextrun"/>
          <w:rFonts w:cs="Arial"/>
          <w:i/>
          <w:iCs/>
        </w:rPr>
        <w:t>2005 (</w:t>
      </w:r>
      <w:proofErr w:type="spellStart"/>
      <w:r w:rsidRPr="00F25891">
        <w:rPr>
          <w:rStyle w:val="normaltextrun"/>
          <w:rFonts w:cs="Arial"/>
          <w:i/>
          <w:iCs/>
        </w:rPr>
        <w:t>Cth</w:t>
      </w:r>
      <w:proofErr w:type="spellEnd"/>
      <w:r w:rsidRPr="00F25891">
        <w:rPr>
          <w:rStyle w:val="normaltextrun"/>
          <w:rFonts w:cs="Arial"/>
          <w:i/>
          <w:iCs/>
        </w:rPr>
        <w:t>) (</w:t>
      </w:r>
      <w:proofErr w:type="spellStart"/>
      <w:r w:rsidRPr="00F25891">
        <w:rPr>
          <w:rStyle w:val="normaltextrun"/>
          <w:rFonts w:cs="Arial"/>
          <w:i/>
          <w:iCs/>
        </w:rPr>
        <w:t>DSE</w:t>
      </w:r>
      <w:proofErr w:type="spellEnd"/>
      <w:r w:rsidRPr="00F25891">
        <w:rPr>
          <w:rStyle w:val="normaltextrun"/>
          <w:rFonts w:cs="Arial"/>
          <w:i/>
          <w:iCs/>
        </w:rPr>
        <w:t>)</w:t>
      </w:r>
      <w:r>
        <w:rPr>
          <w:rStyle w:val="normaltextrun"/>
          <w:rFonts w:cs="Arial"/>
        </w:rPr>
        <w:t xml:space="preserve"> came into effect in August 2005 and clarify the obligations of education and training providers under the DDA. They were reviewed in 2010, 2015 and 2020.</w:t>
      </w:r>
    </w:p>
    <w:p w14:paraId="59292D44" w14:textId="48836377" w:rsidR="00807971" w:rsidRDefault="0058454B" w:rsidP="00115F14">
      <w:pPr>
        <w:rPr>
          <w:rStyle w:val="eop"/>
          <w:rFonts w:cs="Arial"/>
        </w:rPr>
      </w:pPr>
      <w:r>
        <w:rPr>
          <w:rStyle w:val="normaltextrun"/>
          <w:rFonts w:cs="Arial"/>
          <w:b/>
          <w:bCs/>
        </w:rPr>
        <w:t>Easy Read</w:t>
      </w:r>
      <w:r>
        <w:rPr>
          <w:rStyle w:val="normaltextrun"/>
          <w:rFonts w:cs="Arial"/>
        </w:rPr>
        <w:t>: Easy Read refers to the presentation of text in an accessible, easy-to-understand format. It is often useful for people with learning disability and may also be beneficial for people with other conditions affecting how they process information.</w:t>
      </w:r>
    </w:p>
    <w:p w14:paraId="3E5F088B" w14:textId="77777777" w:rsidR="00807971" w:rsidRDefault="0058454B" w:rsidP="00115F14">
      <w:pPr>
        <w:rPr>
          <w:rStyle w:val="eop"/>
          <w:rFonts w:cs="Arial"/>
        </w:rPr>
      </w:pPr>
      <w:r>
        <w:rPr>
          <w:rStyle w:val="normaltextrun"/>
          <w:rFonts w:cs="Arial"/>
          <w:b/>
          <w:bCs/>
        </w:rPr>
        <w:t>Imputed disability</w:t>
      </w:r>
      <w:r>
        <w:rPr>
          <w:rStyle w:val="normaltextrun"/>
          <w:rFonts w:cs="Arial"/>
        </w:rPr>
        <w:t>: A term used in the DDA. It means an undiagnosed disability that disability practitioners or educators may consider a student to have that is having a functional impact on their learning.</w:t>
      </w:r>
    </w:p>
    <w:p w14:paraId="3496AEA7" w14:textId="77777777" w:rsidR="00807971" w:rsidRDefault="0058454B" w:rsidP="00115F14">
      <w:pPr>
        <w:rPr>
          <w:rStyle w:val="eop"/>
          <w:rFonts w:cs="Arial"/>
        </w:rPr>
      </w:pPr>
      <w:proofErr w:type="spellStart"/>
      <w:r>
        <w:rPr>
          <w:rStyle w:val="normaltextrun"/>
          <w:rFonts w:cs="Arial"/>
          <w:b/>
          <w:bCs/>
        </w:rPr>
        <w:t>LLND</w:t>
      </w:r>
      <w:proofErr w:type="spellEnd"/>
      <w:r>
        <w:rPr>
          <w:rStyle w:val="normaltextrun"/>
          <w:rFonts w:cs="Arial"/>
          <w:b/>
          <w:bCs/>
        </w:rPr>
        <w:t xml:space="preserve">: </w:t>
      </w:r>
      <w:r>
        <w:rPr>
          <w:rStyle w:val="normaltextrun"/>
          <w:rFonts w:cs="Arial"/>
        </w:rPr>
        <w:t>Language, literacy, numeracy, and digital competencies are often enrolment requirements gleaned from screening tests that must be done online before enrolment and funding are confirmed.</w:t>
      </w:r>
    </w:p>
    <w:p w14:paraId="2D2610F6" w14:textId="77777777" w:rsidR="00807971" w:rsidRDefault="0058454B" w:rsidP="00115F14">
      <w:pPr>
        <w:rPr>
          <w:rStyle w:val="normaltextrun"/>
          <w:rFonts w:cs="Arial"/>
        </w:rPr>
      </w:pPr>
      <w:r>
        <w:rPr>
          <w:rStyle w:val="normaltextrun"/>
          <w:rFonts w:cs="Arial"/>
          <w:b/>
          <w:bCs/>
        </w:rPr>
        <w:t>Multimodal/multimodality</w:t>
      </w:r>
      <w:r>
        <w:rPr>
          <w:rStyle w:val="normaltextrun"/>
          <w:rFonts w:cs="Arial"/>
        </w:rPr>
        <w:t>: Conveying something through multiple channels using different media or means of communication.</w:t>
      </w:r>
    </w:p>
    <w:p w14:paraId="163CD071" w14:textId="77777777" w:rsidR="00807971" w:rsidRDefault="0058454B" w:rsidP="00115F14">
      <w:pPr>
        <w:rPr>
          <w:rStyle w:val="eop"/>
          <w:rFonts w:cs="Arial"/>
        </w:rPr>
      </w:pPr>
      <w:r>
        <w:rPr>
          <w:rStyle w:val="normaltextrun"/>
          <w:rFonts w:cs="Arial"/>
          <w:b/>
          <w:bCs/>
        </w:rPr>
        <w:t>Online learning platforms</w:t>
      </w:r>
      <w:r>
        <w:rPr>
          <w:rStyle w:val="normaltextrun"/>
          <w:rFonts w:cs="Arial"/>
        </w:rPr>
        <w:t>: Used by RTO institutions for student services, delivery of learning content and resources for both students and staff.</w:t>
      </w:r>
    </w:p>
    <w:p w14:paraId="734E18BB" w14:textId="77777777" w:rsidR="00807971" w:rsidRDefault="0058454B" w:rsidP="00115F14">
      <w:pPr>
        <w:rPr>
          <w:rStyle w:val="eop"/>
          <w:rFonts w:cs="Arial"/>
        </w:rPr>
      </w:pPr>
      <w:r>
        <w:rPr>
          <w:rStyle w:val="normaltextrun"/>
          <w:rFonts w:cs="Arial"/>
          <w:b/>
          <w:bCs/>
        </w:rPr>
        <w:t>Reasonable adjustments</w:t>
      </w:r>
      <w:r>
        <w:rPr>
          <w:rStyle w:val="normaltextrun"/>
          <w:rFonts w:cs="Arial"/>
        </w:rPr>
        <w:t xml:space="preserve">: Under the DDA and </w:t>
      </w:r>
      <w:proofErr w:type="spellStart"/>
      <w:r>
        <w:rPr>
          <w:rStyle w:val="normaltextrun"/>
          <w:rFonts w:cs="Arial"/>
        </w:rPr>
        <w:t>DSE</w:t>
      </w:r>
      <w:proofErr w:type="spellEnd"/>
      <w:r>
        <w:rPr>
          <w:rStyle w:val="normaltextrun"/>
          <w:rFonts w:cs="Arial"/>
        </w:rPr>
        <w:t>, reasonable adjustments are measures or actions taken to help a student with disability to participate in a course on the same basis as other students. An adjustment is reasonable if it balances the interests of all parties affected.</w:t>
      </w:r>
    </w:p>
    <w:p w14:paraId="3A0DD11B" w14:textId="3F5CA730" w:rsidR="00807971" w:rsidRDefault="0058454B" w:rsidP="00115F14">
      <w:pPr>
        <w:rPr>
          <w:rStyle w:val="eop"/>
          <w:rFonts w:cs="Arial"/>
        </w:rPr>
      </w:pPr>
      <w:r w:rsidRPr="00FD000B">
        <w:rPr>
          <w:rStyle w:val="normaltextrun"/>
          <w:rFonts w:cs="Arial"/>
          <w:b/>
          <w:bCs/>
        </w:rPr>
        <w:t>Standards for Registered Training Organisations (RTOs) 2015 (</w:t>
      </w:r>
      <w:proofErr w:type="spellStart"/>
      <w:r w:rsidRPr="00FD000B">
        <w:rPr>
          <w:rStyle w:val="normaltextrun"/>
          <w:rFonts w:cs="Arial"/>
          <w:b/>
          <w:bCs/>
        </w:rPr>
        <w:t>Cth</w:t>
      </w:r>
      <w:proofErr w:type="spellEnd"/>
      <w:r w:rsidRPr="00FD000B">
        <w:rPr>
          <w:rStyle w:val="normaltextrun"/>
          <w:rFonts w:cs="Arial"/>
          <w:b/>
          <w:bCs/>
        </w:rPr>
        <w:t>)</w:t>
      </w:r>
      <w:r w:rsidRPr="00FD000B">
        <w:rPr>
          <w:rStyle w:val="normaltextrun"/>
          <w:rFonts w:cs="Arial"/>
        </w:rPr>
        <w:t xml:space="preserve">: </w:t>
      </w:r>
      <w:r w:rsidR="0021704F" w:rsidRPr="00FD000B">
        <w:rPr>
          <w:rStyle w:val="normaltextrun"/>
          <w:rFonts w:cs="Arial"/>
        </w:rPr>
        <w:t>The</w:t>
      </w:r>
      <w:r w:rsidR="0021704F">
        <w:rPr>
          <w:rStyle w:val="normaltextrun"/>
          <w:rFonts w:cs="Arial"/>
        </w:rPr>
        <w:t xml:space="preserve"> </w:t>
      </w:r>
      <w:r w:rsidR="0021704F" w:rsidRPr="0071423F">
        <w:rPr>
          <w:rStyle w:val="normaltextrun"/>
          <w:rFonts w:cs="Arial"/>
          <w:i/>
          <w:iCs/>
        </w:rPr>
        <w:t>Standards for Registered Training Organisations (RTOs) 2015 (</w:t>
      </w:r>
      <w:proofErr w:type="spellStart"/>
      <w:r w:rsidR="0021704F" w:rsidRPr="0071423F">
        <w:rPr>
          <w:rStyle w:val="normaltextrun"/>
          <w:rFonts w:cs="Arial"/>
          <w:i/>
          <w:iCs/>
        </w:rPr>
        <w:t>Cth</w:t>
      </w:r>
      <w:proofErr w:type="spellEnd"/>
      <w:r w:rsidR="0021704F" w:rsidRPr="0071423F">
        <w:rPr>
          <w:rStyle w:val="normaltextrun"/>
          <w:rFonts w:cs="Arial"/>
          <w:i/>
          <w:iCs/>
        </w:rPr>
        <w:t>)</w:t>
      </w:r>
      <w:r w:rsidR="0021704F" w:rsidRPr="00FD000B">
        <w:rPr>
          <w:rStyle w:val="normaltextrun"/>
          <w:rFonts w:cs="Arial"/>
        </w:rPr>
        <w:t xml:space="preserve"> </w:t>
      </w:r>
      <w:r w:rsidRPr="00FD000B">
        <w:rPr>
          <w:rStyle w:val="normaltextrun"/>
          <w:rFonts w:cs="Arial"/>
        </w:rPr>
        <w:t>are</w:t>
      </w:r>
      <w:r>
        <w:rPr>
          <w:rStyle w:val="normaltextrun"/>
          <w:rFonts w:cs="Arial"/>
        </w:rPr>
        <w:t xml:space="preserve"> regulatory standards for RTOs and regulators. They aim to protect the interests of all students in Australia’s VET system. Compliance with the Standards is a requirement for </w:t>
      </w:r>
      <w:r w:rsidR="00103DBA">
        <w:rPr>
          <w:rStyle w:val="normaltextrun"/>
          <w:rFonts w:cs="Arial"/>
        </w:rPr>
        <w:t xml:space="preserve">most </w:t>
      </w:r>
      <w:r>
        <w:rPr>
          <w:rStyle w:val="normaltextrun"/>
          <w:rFonts w:cs="Arial"/>
        </w:rPr>
        <w:lastRenderedPageBreak/>
        <w:t>RTOs delivering nationally recognised training.</w:t>
      </w:r>
      <w:r w:rsidR="00103DBA">
        <w:rPr>
          <w:rStyle w:val="normaltextrun"/>
          <w:rFonts w:cs="Arial"/>
        </w:rPr>
        <w:t xml:space="preserve"> </w:t>
      </w:r>
      <w:r w:rsidR="00103DBA">
        <w:rPr>
          <w:rFonts w:eastAsia="Arial" w:cs="Arial"/>
          <w:b/>
          <w:bCs/>
          <w:color w:val="000000" w:themeColor="text1"/>
        </w:rPr>
        <w:t>Please note:</w:t>
      </w:r>
      <w:r w:rsidR="00103DBA" w:rsidRPr="00AA6EBF">
        <w:rPr>
          <w:rFonts w:eastAsia="Arial" w:cs="Arial"/>
          <w:color w:val="000000" w:themeColor="text1"/>
        </w:rPr>
        <w:t xml:space="preserve"> Some</w:t>
      </w:r>
      <w:r w:rsidR="00103DBA">
        <w:rPr>
          <w:rFonts w:eastAsia="Arial" w:cs="Arial"/>
          <w:color w:val="000000" w:themeColor="text1"/>
        </w:rPr>
        <w:t xml:space="preserve"> </w:t>
      </w:r>
      <w:r w:rsidR="00103DBA">
        <w:rPr>
          <w:lang w:eastAsia="en-US"/>
        </w:rPr>
        <w:t>R</w:t>
      </w:r>
      <w:r w:rsidR="00654268">
        <w:rPr>
          <w:lang w:eastAsia="en-US"/>
        </w:rPr>
        <w:t>TOs</w:t>
      </w:r>
      <w:r w:rsidR="00103DBA">
        <w:rPr>
          <w:lang w:eastAsia="en-US"/>
        </w:rPr>
        <w:t xml:space="preserve"> in Victoria and Western Australia are regulated by the </w:t>
      </w:r>
      <w:r w:rsidR="00103DBA" w:rsidRPr="00AA6EBF">
        <w:rPr>
          <w:rFonts w:eastAsia="Arial" w:cs="Arial"/>
          <w:i/>
          <w:iCs/>
        </w:rPr>
        <w:t>Victorian Registration and Qualifications Authority</w:t>
      </w:r>
      <w:r w:rsidR="00103DBA">
        <w:t xml:space="preserve"> or the </w:t>
      </w:r>
      <w:r w:rsidR="00103DBA" w:rsidRPr="00AA6EBF">
        <w:rPr>
          <w:rFonts w:eastAsia="Arial" w:cs="Arial"/>
          <w:i/>
          <w:iCs/>
        </w:rPr>
        <w:t>Training Accreditation Council Western Australia</w:t>
      </w:r>
      <w:r w:rsidR="00103DBA">
        <w:rPr>
          <w:rFonts w:eastAsia="Arial" w:cs="Arial"/>
          <w:i/>
          <w:iCs/>
        </w:rPr>
        <w:t xml:space="preserve"> respectively</w:t>
      </w:r>
      <w:r w:rsidR="00103DBA">
        <w:t>.</w:t>
      </w:r>
    </w:p>
    <w:p w14:paraId="06243570" w14:textId="4F9E6381" w:rsidR="00807971" w:rsidRDefault="0058454B" w:rsidP="00115F14">
      <w:pPr>
        <w:rPr>
          <w:rStyle w:val="eop"/>
          <w:rFonts w:cs="Arial"/>
        </w:rPr>
      </w:pPr>
      <w:r>
        <w:rPr>
          <w:rStyle w:val="normaltextrun"/>
          <w:rFonts w:cs="Arial"/>
          <w:b/>
          <w:bCs/>
        </w:rPr>
        <w:t>Strengths-based approach</w:t>
      </w:r>
      <w:r>
        <w:rPr>
          <w:rStyle w:val="normaltextrun"/>
          <w:rFonts w:cs="Arial"/>
        </w:rPr>
        <w:t xml:space="preserve">: A strengths-based approach </w:t>
      </w:r>
      <w:r w:rsidR="002D7526">
        <w:rPr>
          <w:rStyle w:val="normaltextrun"/>
          <w:rFonts w:cs="Arial"/>
        </w:rPr>
        <w:t>focusses on</w:t>
      </w:r>
      <w:r>
        <w:rPr>
          <w:rStyle w:val="normaltextrun"/>
          <w:rFonts w:cs="Arial"/>
        </w:rPr>
        <w:t xml:space="preserve"> what the student </w:t>
      </w:r>
      <w:proofErr w:type="gramStart"/>
      <w:r>
        <w:rPr>
          <w:rStyle w:val="normaltextrun"/>
          <w:rFonts w:cs="Arial"/>
        </w:rPr>
        <w:t>is able to</w:t>
      </w:r>
      <w:proofErr w:type="gramEnd"/>
      <w:r>
        <w:rPr>
          <w:rStyle w:val="normaltextrun"/>
          <w:rFonts w:cs="Arial"/>
        </w:rPr>
        <w:t xml:space="preserve"> do and contribute, not what they are not able to do due to their disability.</w:t>
      </w:r>
    </w:p>
    <w:p w14:paraId="5DDBED54" w14:textId="77777777" w:rsidR="00807971" w:rsidRDefault="0058454B" w:rsidP="00115F14">
      <w:pPr>
        <w:rPr>
          <w:rStyle w:val="eop"/>
          <w:rFonts w:cs="Arial"/>
        </w:rPr>
      </w:pPr>
      <w:r>
        <w:rPr>
          <w:rStyle w:val="normaltextrun"/>
          <w:rFonts w:cs="Arial"/>
          <w:b/>
          <w:bCs/>
        </w:rPr>
        <w:t>Student Support/Learning Plan</w:t>
      </w:r>
      <w:r>
        <w:rPr>
          <w:rStyle w:val="normaltextrun"/>
          <w:rFonts w:cs="Arial"/>
        </w:rPr>
        <w:t>: A document the RTO uses to identify and detail any support needs the student might have.</w:t>
      </w:r>
    </w:p>
    <w:p w14:paraId="43FB4005" w14:textId="0CB354E0" w:rsidR="00807971" w:rsidRDefault="0058454B" w:rsidP="00115F14">
      <w:pPr>
        <w:rPr>
          <w:rStyle w:val="normaltextrun"/>
          <w:rFonts w:cs="Arial"/>
        </w:rPr>
      </w:pPr>
      <w:r>
        <w:rPr>
          <w:rStyle w:val="normaltextrun"/>
          <w:rFonts w:cs="Arial"/>
          <w:b/>
          <w:bCs/>
        </w:rPr>
        <w:t>Success orientation</w:t>
      </w:r>
      <w:r>
        <w:rPr>
          <w:rStyle w:val="normaltextrun"/>
          <w:rFonts w:cs="Arial"/>
        </w:rPr>
        <w:t>: A way of being and doing where the plan is for success of the individual and a positive mindset is the focus, identifying potential barriers but with a clear success goal.</w:t>
      </w:r>
    </w:p>
    <w:p w14:paraId="49F32714" w14:textId="0C899748" w:rsidR="00E040CA" w:rsidRDefault="00606704" w:rsidP="00115F14">
      <w:pPr>
        <w:rPr>
          <w:rStyle w:val="eop"/>
          <w:rFonts w:cs="Arial"/>
        </w:rPr>
      </w:pPr>
      <w:r w:rsidRPr="00606704">
        <w:rPr>
          <w:rFonts w:cs="Arial"/>
          <w:b/>
          <w:bCs/>
        </w:rPr>
        <w:t>Training Accreditation Council (TAC)</w:t>
      </w:r>
      <w:r w:rsidRPr="00606704">
        <w:rPr>
          <w:rFonts w:cs="Arial"/>
        </w:rPr>
        <w:t xml:space="preserve">: The </w:t>
      </w:r>
      <w:r w:rsidRPr="00606704">
        <w:rPr>
          <w:rFonts w:cs="Arial"/>
          <w:i/>
          <w:iCs/>
        </w:rPr>
        <w:t>Training Accreditation Council</w:t>
      </w:r>
      <w:r w:rsidRPr="00606704">
        <w:rPr>
          <w:rFonts w:cs="Arial"/>
        </w:rPr>
        <w:t xml:space="preserve"> (TAC) is Western Australia's Vocational Education and Training (VET) Regulator and is established under the </w:t>
      </w:r>
      <w:r w:rsidRPr="00606704">
        <w:rPr>
          <w:rFonts w:cs="Arial"/>
          <w:i/>
          <w:iCs/>
        </w:rPr>
        <w:t>Vocational Education and Training Act 1996</w:t>
      </w:r>
      <w:r w:rsidRPr="00606704">
        <w:rPr>
          <w:rFonts w:cs="Arial"/>
        </w:rPr>
        <w:t xml:space="preserve">. The Council registers training organisations under the </w:t>
      </w:r>
      <w:r w:rsidRPr="00606704">
        <w:rPr>
          <w:rFonts w:cs="Arial"/>
          <w:i/>
          <w:iCs/>
        </w:rPr>
        <w:t>Standards for Registered Training Organisations (RTOs) 2015 (</w:t>
      </w:r>
      <w:proofErr w:type="spellStart"/>
      <w:r w:rsidRPr="00606704">
        <w:rPr>
          <w:rFonts w:cs="Arial"/>
          <w:i/>
          <w:iCs/>
        </w:rPr>
        <w:t>Cth</w:t>
      </w:r>
      <w:proofErr w:type="spellEnd"/>
      <w:r w:rsidRPr="00606704">
        <w:rPr>
          <w:rFonts w:cs="Arial"/>
          <w:i/>
          <w:iCs/>
        </w:rPr>
        <w:t>)</w:t>
      </w:r>
      <w:r w:rsidRPr="00606704">
        <w:rPr>
          <w:rFonts w:cs="Arial"/>
        </w:rPr>
        <w:t xml:space="preserve"> and accredits courses under the </w:t>
      </w:r>
      <w:proofErr w:type="spellStart"/>
      <w:r w:rsidRPr="00606704">
        <w:rPr>
          <w:rFonts w:cs="Arial"/>
          <w:i/>
          <w:iCs/>
        </w:rPr>
        <w:t>AQTF</w:t>
      </w:r>
      <w:proofErr w:type="spellEnd"/>
      <w:r w:rsidRPr="00606704">
        <w:rPr>
          <w:rFonts w:cs="Arial"/>
          <w:i/>
          <w:iCs/>
        </w:rPr>
        <w:t xml:space="preserve"> 2021 Standards for Accredited Courses</w:t>
      </w:r>
      <w:r w:rsidRPr="00606704">
        <w:rPr>
          <w:rFonts w:cs="Arial"/>
        </w:rPr>
        <w:t>.</w:t>
      </w:r>
    </w:p>
    <w:p w14:paraId="4C17DF7E" w14:textId="77777777" w:rsidR="00807971" w:rsidRDefault="0058454B" w:rsidP="00115F14">
      <w:pPr>
        <w:rPr>
          <w:rStyle w:val="eop"/>
          <w:rFonts w:cs="Arial"/>
        </w:rPr>
      </w:pPr>
      <w:r>
        <w:rPr>
          <w:rStyle w:val="normaltextrun"/>
          <w:rFonts w:cs="Arial"/>
          <w:b/>
          <w:bCs/>
        </w:rPr>
        <w:t>Universal Design</w:t>
      </w:r>
      <w:r>
        <w:rPr>
          <w:rStyle w:val="normaltextrun"/>
          <w:rFonts w:cs="Arial"/>
        </w:rPr>
        <w:t>: The intentional design to maximise access for all people including people with disability.</w:t>
      </w:r>
    </w:p>
    <w:p w14:paraId="72E94F06" w14:textId="77777777" w:rsidR="00807971" w:rsidRDefault="0058454B" w:rsidP="00115F14">
      <w:pPr>
        <w:rPr>
          <w:rStyle w:val="normaltextrun"/>
          <w:rFonts w:cs="Arial"/>
        </w:rPr>
      </w:pPr>
      <w:r>
        <w:rPr>
          <w:rStyle w:val="normaltextrun"/>
          <w:rFonts w:cs="Arial"/>
          <w:b/>
          <w:bCs/>
        </w:rPr>
        <w:t>Universal Design for Learning</w:t>
      </w:r>
      <w:r>
        <w:rPr>
          <w:rStyle w:val="normaltextrun"/>
          <w:rFonts w:cs="Arial"/>
        </w:rPr>
        <w:t>: An approach to minimise or remove access barriers at the design phase to maximise participation for all learners.</w:t>
      </w:r>
    </w:p>
    <w:p w14:paraId="64FD7C32" w14:textId="5C7BABD8" w:rsidR="00CE3627" w:rsidRPr="00CE3627" w:rsidRDefault="00CE3627" w:rsidP="00CE3627">
      <w:pPr>
        <w:rPr>
          <w:rFonts w:cs="Arial"/>
        </w:rPr>
      </w:pPr>
      <w:r w:rsidRPr="00CE3627">
        <w:rPr>
          <w:rFonts w:cs="Arial"/>
          <w:b/>
          <w:bCs/>
        </w:rPr>
        <w:t>Victorian Reg</w:t>
      </w:r>
      <w:r w:rsidR="00490F66">
        <w:rPr>
          <w:rFonts w:cs="Arial"/>
          <w:b/>
          <w:bCs/>
        </w:rPr>
        <w:t>istration</w:t>
      </w:r>
      <w:r w:rsidRPr="00CE3627">
        <w:rPr>
          <w:rFonts w:cs="Arial"/>
          <w:b/>
          <w:bCs/>
        </w:rPr>
        <w:t xml:space="preserve"> and Qualifications Authority (</w:t>
      </w:r>
      <w:proofErr w:type="spellStart"/>
      <w:r w:rsidRPr="00CE3627">
        <w:rPr>
          <w:rFonts w:cs="Arial"/>
          <w:b/>
          <w:bCs/>
        </w:rPr>
        <w:t>VRQA</w:t>
      </w:r>
      <w:proofErr w:type="spellEnd"/>
      <w:r w:rsidRPr="00CE3627">
        <w:rPr>
          <w:rFonts w:cs="Arial"/>
          <w:b/>
          <w:bCs/>
        </w:rPr>
        <w:t>)</w:t>
      </w:r>
      <w:r w:rsidRPr="00CE3627">
        <w:rPr>
          <w:rFonts w:cs="Arial"/>
        </w:rPr>
        <w:t xml:space="preserve">: The </w:t>
      </w:r>
      <w:r w:rsidRPr="00CE3627">
        <w:rPr>
          <w:rFonts w:cs="Arial"/>
          <w:i/>
          <w:iCs/>
        </w:rPr>
        <w:t xml:space="preserve">Victorian </w:t>
      </w:r>
      <w:r w:rsidR="00DA55C4">
        <w:rPr>
          <w:rFonts w:cs="Arial"/>
          <w:i/>
          <w:iCs/>
        </w:rPr>
        <w:t>Registration</w:t>
      </w:r>
      <w:r w:rsidRPr="00CE3627">
        <w:rPr>
          <w:rFonts w:cs="Arial"/>
          <w:i/>
          <w:iCs/>
        </w:rPr>
        <w:t xml:space="preserve"> and Qualifications Authority (</w:t>
      </w:r>
      <w:proofErr w:type="spellStart"/>
      <w:r w:rsidRPr="00CE3627">
        <w:rPr>
          <w:rFonts w:cs="Arial"/>
          <w:i/>
          <w:iCs/>
        </w:rPr>
        <w:t>VRQA</w:t>
      </w:r>
      <w:proofErr w:type="spellEnd"/>
      <w:r w:rsidRPr="00CE3627">
        <w:rPr>
          <w:rFonts w:cs="Arial"/>
          <w:i/>
          <w:iCs/>
        </w:rPr>
        <w:t>)</w:t>
      </w:r>
      <w:r w:rsidRPr="00CE3627">
        <w:rPr>
          <w:rFonts w:cs="Arial"/>
        </w:rPr>
        <w:t xml:space="preserve"> is Victoria's education and training regulator. It is an independent statutory authority that works to assure the quality of education and training in Victoria through the application of standards to education and training providers and accreditation of courses and qualifications.</w:t>
      </w:r>
    </w:p>
    <w:p w14:paraId="4461F58F" w14:textId="02CC5840" w:rsidR="0058454B" w:rsidRDefault="0058454B" w:rsidP="00115F14">
      <w:pPr>
        <w:rPr>
          <w:color w:val="2F5496" w:themeColor="accent1" w:themeShade="BF"/>
          <w:kern w:val="36"/>
          <w:sz w:val="36"/>
          <w:szCs w:val="48"/>
        </w:rPr>
      </w:pPr>
      <w:r>
        <w:rPr>
          <w:rStyle w:val="normaltextrun"/>
          <w:rFonts w:cs="Arial"/>
          <w:b/>
          <w:bCs/>
        </w:rPr>
        <w:t>Web Content Accessibilities Guidelines (</w:t>
      </w:r>
      <w:proofErr w:type="spellStart"/>
      <w:r>
        <w:rPr>
          <w:rStyle w:val="normaltextrun"/>
          <w:rFonts w:cs="Arial"/>
          <w:b/>
          <w:bCs/>
        </w:rPr>
        <w:t>WCAG</w:t>
      </w:r>
      <w:proofErr w:type="spellEnd"/>
      <w:r>
        <w:rPr>
          <w:rStyle w:val="normaltextrun"/>
          <w:rFonts w:cs="Arial"/>
          <w:b/>
          <w:bCs/>
        </w:rPr>
        <w:t>)</w:t>
      </w:r>
      <w:r>
        <w:rPr>
          <w:rStyle w:val="normaltextrun"/>
          <w:rFonts w:cs="Arial"/>
        </w:rPr>
        <w:t xml:space="preserve">: Guidelines developed by the W3C that outline how to make web content more accessible for people with disability. </w:t>
      </w:r>
      <w:hyperlink r:id="rId24" w:tgtFrame="_blank" w:history="1">
        <w:r w:rsidRPr="008C7B3D">
          <w:rPr>
            <w:rStyle w:val="Hyperlink"/>
          </w:rPr>
          <w:t>https://www.w3.org/WAI/standards-guidelines/wcag</w:t>
        </w:r>
      </w:hyperlink>
      <w:r>
        <w:br w:type="page"/>
      </w:r>
    </w:p>
    <w:p w14:paraId="586D1352" w14:textId="0D5D03A8" w:rsidR="00853391" w:rsidRPr="00D06B84" w:rsidRDefault="1FC920B0" w:rsidP="008E516A">
      <w:pPr>
        <w:pStyle w:val="Heading1"/>
      </w:pPr>
      <w:bookmarkStart w:id="12" w:name="_Toc173763664"/>
      <w:r w:rsidRPr="00D06B84">
        <w:lastRenderedPageBreak/>
        <w:t xml:space="preserve">Resources </w:t>
      </w:r>
      <w:r w:rsidR="59F46BE6" w:rsidRPr="00D06B84">
        <w:t>g</w:t>
      </w:r>
      <w:r w:rsidRPr="00D06B84">
        <w:t>uide</w:t>
      </w:r>
      <w:bookmarkEnd w:id="12"/>
    </w:p>
    <w:p w14:paraId="6B8B212E" w14:textId="4F1220BD" w:rsidR="00853391" w:rsidRPr="00FD3223" w:rsidRDefault="009A4ECF" w:rsidP="00115F14">
      <w:r w:rsidRPr="00FD3223">
        <w:t xml:space="preserve">A selection of key recommended resources </w:t>
      </w:r>
      <w:r w:rsidR="008773BD">
        <w:t xml:space="preserve">is assembled </w:t>
      </w:r>
      <w:r w:rsidRPr="00FD3223">
        <w:t>to strengthen practice.</w:t>
      </w:r>
    </w:p>
    <w:p w14:paraId="5384CD3B" w14:textId="6CAEC1B8" w:rsidR="00853391" w:rsidRPr="00D06B84" w:rsidRDefault="1FC920B0" w:rsidP="008E516A">
      <w:pPr>
        <w:pStyle w:val="Heading2"/>
      </w:pPr>
      <w:bookmarkStart w:id="13" w:name="_Toc173763665"/>
      <w:r w:rsidRPr="00D06B84">
        <w:t xml:space="preserve">Key </w:t>
      </w:r>
      <w:r w:rsidR="59F46BE6" w:rsidRPr="00D06B84">
        <w:t>r</w:t>
      </w:r>
      <w:r w:rsidRPr="00D06B84">
        <w:t>eferences</w:t>
      </w:r>
      <w:bookmarkEnd w:id="13"/>
    </w:p>
    <w:p w14:paraId="3FA265A6" w14:textId="10575647" w:rsidR="00853391" w:rsidRPr="003A02BC" w:rsidRDefault="003A02BC" w:rsidP="00115F14">
      <w:pPr>
        <w:pStyle w:val="bullettedlist"/>
        <w:rPr>
          <w:rStyle w:val="Hyperlink"/>
        </w:rPr>
      </w:pPr>
      <w:r>
        <w:rPr>
          <w:rFonts w:eastAsia="DengXian"/>
          <w:i/>
        </w:rPr>
        <w:fldChar w:fldCharType="begin"/>
      </w:r>
      <w:r w:rsidR="007A7E5C">
        <w:rPr>
          <w:rFonts w:eastAsia="DengXian"/>
          <w:i/>
        </w:rPr>
        <w:instrText>HYPERLINK "https://www.legislation.gov.au/C2004A04426/latest/text"</w:instrText>
      </w:r>
      <w:r>
        <w:rPr>
          <w:rFonts w:eastAsia="DengXian"/>
          <w:i/>
        </w:rPr>
      </w:r>
      <w:r>
        <w:rPr>
          <w:rFonts w:eastAsia="DengXian"/>
          <w:i/>
        </w:rPr>
        <w:fldChar w:fldCharType="separate"/>
      </w:r>
      <w:r w:rsidR="00151299" w:rsidRPr="003A02BC">
        <w:rPr>
          <w:rStyle w:val="Hyperlink"/>
        </w:rPr>
        <w:t>Disability Discrimination Act 1992 (</w:t>
      </w:r>
      <w:proofErr w:type="spellStart"/>
      <w:r w:rsidR="00151299" w:rsidRPr="003A02BC">
        <w:rPr>
          <w:rStyle w:val="Hyperlink"/>
        </w:rPr>
        <w:t>Cth</w:t>
      </w:r>
      <w:proofErr w:type="spellEnd"/>
      <w:r w:rsidR="00151299" w:rsidRPr="003A02BC">
        <w:rPr>
          <w:rStyle w:val="Hyperlink"/>
        </w:rPr>
        <w:t>) (DDA)</w:t>
      </w:r>
    </w:p>
    <w:p w14:paraId="54226719" w14:textId="49958B62" w:rsidR="00853391" w:rsidRPr="00247FE7" w:rsidRDefault="003A02BC" w:rsidP="00115F14">
      <w:pPr>
        <w:pStyle w:val="bullettedlist"/>
      </w:pPr>
      <w:r>
        <w:rPr>
          <w:rFonts w:eastAsia="DengXian"/>
          <w:i/>
        </w:rPr>
        <w:fldChar w:fldCharType="end"/>
      </w:r>
      <w:hyperlink r:id="rId25" w:history="1">
        <w:r w:rsidR="009A4ECF" w:rsidRPr="00247FE7">
          <w:rPr>
            <w:rStyle w:val="Hyperlink"/>
          </w:rPr>
          <w:t>DDA guide: What's it all about | Australian Human Rights Commission</w:t>
        </w:r>
      </w:hyperlink>
    </w:p>
    <w:p w14:paraId="46DA0319" w14:textId="662BB12F" w:rsidR="00853391" w:rsidRPr="00247FE7" w:rsidRDefault="00ED1674" w:rsidP="00115F14">
      <w:pPr>
        <w:pStyle w:val="bullettedlist"/>
      </w:pPr>
      <w:hyperlink r:id="rId26" w:history="1">
        <w:r w:rsidR="009A4ECF" w:rsidRPr="00247FE7">
          <w:rPr>
            <w:rStyle w:val="Hyperlink"/>
          </w:rPr>
          <w:t>Australian Human Rights Commission (AHRC): Education and Disability</w:t>
        </w:r>
      </w:hyperlink>
    </w:p>
    <w:p w14:paraId="327FFCE4" w14:textId="642C93E6" w:rsidR="00807971" w:rsidRPr="006A413B" w:rsidRDefault="00C94BE1" w:rsidP="00115F14">
      <w:pPr>
        <w:pStyle w:val="bullettedlist"/>
        <w:rPr>
          <w:rStyle w:val="Hyperlink"/>
        </w:rPr>
      </w:pPr>
      <w:r w:rsidRPr="006A413B">
        <w:rPr>
          <w:rStyle w:val="Hyperlink"/>
        </w:rPr>
        <w:fldChar w:fldCharType="begin"/>
      </w:r>
      <w:r w:rsidRPr="006A413B">
        <w:rPr>
          <w:rStyle w:val="Hyperlink"/>
        </w:rPr>
        <w:instrText xml:space="preserve"> HYPERLINK "https://www.legislation.gov.au/Details/F2005L00767" </w:instrText>
      </w:r>
      <w:r w:rsidRPr="006A413B">
        <w:rPr>
          <w:rStyle w:val="Hyperlink"/>
        </w:rPr>
      </w:r>
      <w:r w:rsidRPr="006A413B">
        <w:rPr>
          <w:rStyle w:val="Hyperlink"/>
        </w:rPr>
        <w:fldChar w:fldCharType="separate"/>
      </w:r>
      <w:hyperlink r:id="rId27" w:history="1">
        <w:r w:rsidR="00C42670" w:rsidRPr="006A413B">
          <w:rPr>
            <w:rStyle w:val="Hyperlink"/>
          </w:rPr>
          <w:t>Disability Standards for Education 2005 (Cth) (DSE)</w:t>
        </w:r>
      </w:hyperlink>
    </w:p>
    <w:p w14:paraId="32BC3CFB" w14:textId="7313F137" w:rsidR="00853391" w:rsidRPr="006A413B" w:rsidRDefault="00C94BE1" w:rsidP="00115F14">
      <w:pPr>
        <w:pStyle w:val="bullettedlist"/>
        <w:rPr>
          <w:rStyle w:val="Hyperlink"/>
        </w:rPr>
      </w:pPr>
      <w:r w:rsidRPr="006A413B">
        <w:rPr>
          <w:rStyle w:val="Hyperlink"/>
        </w:rPr>
        <w:fldChar w:fldCharType="end"/>
      </w:r>
      <w:hyperlink r:id="rId28" w:history="1">
        <w:r w:rsidR="009A4ECF" w:rsidRPr="006A413B">
          <w:rPr>
            <w:rStyle w:val="Hyperlink"/>
          </w:rPr>
          <w:t>Disability Standards for Education 2005</w:t>
        </w:r>
        <w:r w:rsidR="00E41F5C" w:rsidRPr="006A413B">
          <w:rPr>
            <w:rStyle w:val="Hyperlink"/>
          </w:rPr>
          <w:t xml:space="preserve"> </w:t>
        </w:r>
        <w:r w:rsidR="009A4ECF" w:rsidRPr="006A413B">
          <w:rPr>
            <w:rStyle w:val="Hyperlink"/>
          </w:rPr>
          <w:t>Guidance Notes</w:t>
        </w:r>
      </w:hyperlink>
    </w:p>
    <w:p w14:paraId="5CF7043A" w14:textId="718E9DED" w:rsidR="00574FF9" w:rsidRPr="00300646" w:rsidRDefault="00ED1674" w:rsidP="00115F14">
      <w:pPr>
        <w:pStyle w:val="bullettedlist"/>
        <w:rPr>
          <w:rStyle w:val="Hyperlink"/>
          <w:color w:val="auto"/>
          <w:u w:val="none"/>
        </w:rPr>
      </w:pPr>
      <w:hyperlink r:id="rId29" w:history="1">
        <w:r w:rsidR="00574FF9" w:rsidRPr="00247FE7">
          <w:rPr>
            <w:rStyle w:val="Hyperlink"/>
          </w:rPr>
          <w:t>Department of Education – Disability Standards for Education</w:t>
        </w:r>
      </w:hyperlink>
    </w:p>
    <w:p w14:paraId="29B47FD9" w14:textId="466EC44C" w:rsidR="00807971" w:rsidRPr="00AC6E68" w:rsidRDefault="00AC6E68" w:rsidP="00115F14">
      <w:pPr>
        <w:pStyle w:val="bullettedlist"/>
        <w:rPr>
          <w:rStyle w:val="Hyperlink"/>
        </w:rPr>
      </w:pPr>
      <w:r>
        <w:rPr>
          <w:rFonts w:eastAsiaTheme="minorEastAsia" w:cs="Times New Roman"/>
          <w:i/>
          <w:iCs/>
          <w:color w:val="0563C1" w:themeColor="hyperlink"/>
          <w:u w:val="single"/>
        </w:rPr>
        <w:fldChar w:fldCharType="begin"/>
      </w:r>
      <w:r>
        <w:rPr>
          <w:rFonts w:eastAsiaTheme="minorEastAsia" w:cs="Times New Roman"/>
          <w:i/>
          <w:iCs/>
          <w:color w:val="0563C1" w:themeColor="hyperlink"/>
          <w:u w:val="single"/>
        </w:rPr>
        <w:instrText>HYPERLINK "https://www.legislation.gov.au/F2014L01377/latest/text"</w:instrText>
      </w:r>
      <w:r>
        <w:rPr>
          <w:rFonts w:eastAsiaTheme="minorEastAsia" w:cs="Times New Roman"/>
          <w:i/>
          <w:iCs/>
          <w:color w:val="0563C1" w:themeColor="hyperlink"/>
          <w:u w:val="single"/>
        </w:rPr>
      </w:r>
      <w:r>
        <w:rPr>
          <w:rFonts w:eastAsiaTheme="minorEastAsia" w:cs="Times New Roman"/>
          <w:i/>
          <w:iCs/>
          <w:color w:val="0563C1" w:themeColor="hyperlink"/>
          <w:u w:val="single"/>
        </w:rPr>
        <w:fldChar w:fldCharType="separate"/>
      </w:r>
      <w:r w:rsidR="00947EE6" w:rsidRPr="00AC6E68">
        <w:rPr>
          <w:rStyle w:val="Hyperlink"/>
          <w:rFonts w:eastAsiaTheme="minorEastAsia" w:cs="Times New Roman"/>
          <w:iCs/>
        </w:rPr>
        <w:t>Standards for Registered Training Organisations (RTOs) 2015 (Cth)</w:t>
      </w:r>
    </w:p>
    <w:p w14:paraId="399DFED7" w14:textId="7DAD466F" w:rsidR="3D76F984" w:rsidRPr="00502D54" w:rsidRDefault="00AC6E68" w:rsidP="00115F14">
      <w:pPr>
        <w:pStyle w:val="bullettedlist"/>
        <w:rPr>
          <w:rStyle w:val="Hyperlink"/>
        </w:rPr>
      </w:pPr>
      <w:r>
        <w:rPr>
          <w:rFonts w:eastAsiaTheme="minorEastAsia" w:cs="Times New Roman"/>
          <w:i/>
          <w:iCs/>
          <w:color w:val="0563C1" w:themeColor="hyperlink"/>
          <w:u w:val="single"/>
        </w:rPr>
        <w:fldChar w:fldCharType="end"/>
      </w:r>
      <w:hyperlink r:id="rId30" w:history="1">
        <w:r w:rsidR="3D76F984" w:rsidRPr="00502D54">
          <w:rPr>
            <w:rStyle w:val="Hyperlink"/>
          </w:rPr>
          <w:t>Victorian Registration and Qualifications Authority</w:t>
        </w:r>
      </w:hyperlink>
    </w:p>
    <w:p w14:paraId="5FAEEF66" w14:textId="635BB678" w:rsidR="3D76F984" w:rsidRPr="00502D54" w:rsidRDefault="00ED1674" w:rsidP="00502D54">
      <w:pPr>
        <w:pStyle w:val="bullettedlist"/>
        <w:rPr>
          <w:rStyle w:val="Hyperlink"/>
        </w:rPr>
      </w:pPr>
      <w:hyperlink r:id="rId31" w:history="1">
        <w:r w:rsidR="3D76F984" w:rsidRPr="00502D54">
          <w:rPr>
            <w:rStyle w:val="Hyperlink"/>
          </w:rPr>
          <w:t>Training Accreditation Council in Western Australia</w:t>
        </w:r>
      </w:hyperlink>
    </w:p>
    <w:p w14:paraId="7A7C354F" w14:textId="0B4A313C" w:rsidR="00853391" w:rsidRPr="00FD3223" w:rsidRDefault="009A4ECF" w:rsidP="008E516A">
      <w:pPr>
        <w:pStyle w:val="Heading2"/>
      </w:pPr>
      <w:bookmarkStart w:id="14" w:name="_Toc173763666"/>
      <w:proofErr w:type="spellStart"/>
      <w:r w:rsidRPr="00FD3223">
        <w:t>DSE</w:t>
      </w:r>
      <w:proofErr w:type="spellEnd"/>
      <w:r w:rsidRPr="00FD3223">
        <w:t xml:space="preserve"> </w:t>
      </w:r>
      <w:r w:rsidR="00BE53CA">
        <w:t>f</w:t>
      </w:r>
      <w:r w:rsidRPr="00FD3223">
        <w:t xml:space="preserve">act </w:t>
      </w:r>
      <w:r w:rsidR="00BE53CA">
        <w:t>s</w:t>
      </w:r>
      <w:r w:rsidRPr="00FD3223">
        <w:t>heets</w:t>
      </w:r>
      <w:bookmarkEnd w:id="14"/>
      <w:r w:rsidR="00F20EF0">
        <w:t xml:space="preserve"> </w:t>
      </w:r>
    </w:p>
    <w:p w14:paraId="0A160686" w14:textId="626456A2" w:rsidR="00853391" w:rsidRPr="00C42835" w:rsidRDefault="00ED1674" w:rsidP="00115F14">
      <w:pPr>
        <w:pStyle w:val="bullettedlist"/>
      </w:pPr>
      <w:hyperlink r:id="rId32">
        <w:r w:rsidR="009A4ECF" w:rsidRPr="00C42835">
          <w:rPr>
            <w:rStyle w:val="Hyperlink"/>
          </w:rPr>
          <w:t>Fact sheet:</w:t>
        </w:r>
        <w:r w:rsidR="0094595C" w:rsidRPr="00C42835">
          <w:rPr>
            <w:rStyle w:val="Hyperlink"/>
          </w:rPr>
          <w:t xml:space="preserve"> </w:t>
        </w:r>
        <w:r w:rsidR="009A4ECF" w:rsidRPr="00C42835">
          <w:rPr>
            <w:rStyle w:val="Hyperlink"/>
          </w:rPr>
          <w:t>Disability Discrimination Act 1992</w:t>
        </w:r>
      </w:hyperlink>
    </w:p>
    <w:p w14:paraId="0A04E8AC" w14:textId="0FD85D23" w:rsidR="00853391" w:rsidRPr="00C42835" w:rsidRDefault="00ED1674" w:rsidP="00115F14">
      <w:pPr>
        <w:pStyle w:val="bullettedlist"/>
      </w:pPr>
      <w:hyperlink r:id="rId33">
        <w:r w:rsidR="009A4ECF" w:rsidRPr="00C42835">
          <w:rPr>
            <w:rStyle w:val="Hyperlink"/>
          </w:rPr>
          <w:t>Fact sheet:</w:t>
        </w:r>
        <w:r w:rsidR="0094595C" w:rsidRPr="00C42835">
          <w:rPr>
            <w:rStyle w:val="Hyperlink"/>
          </w:rPr>
          <w:t xml:space="preserve"> </w:t>
        </w:r>
        <w:r w:rsidR="009A4ECF" w:rsidRPr="00C42835">
          <w:rPr>
            <w:rStyle w:val="Hyperlink"/>
          </w:rPr>
          <w:t>Disability Standards for Education 2005</w:t>
        </w:r>
      </w:hyperlink>
    </w:p>
    <w:p w14:paraId="795EC57B" w14:textId="110967D0" w:rsidR="00853391" w:rsidRPr="00FD3223" w:rsidRDefault="00ED1674" w:rsidP="00115F14">
      <w:pPr>
        <w:pStyle w:val="bullettedlist"/>
      </w:pPr>
      <w:hyperlink r:id="rId34">
        <w:r w:rsidR="009A4ECF" w:rsidRPr="151CDF5E">
          <w:rPr>
            <w:rStyle w:val="Hyperlink"/>
          </w:rPr>
          <w:t>Fact sheet: Parental engagement</w:t>
        </w:r>
      </w:hyperlink>
    </w:p>
    <w:p w14:paraId="43CAE5F6" w14:textId="3030A8BA" w:rsidR="00853391" w:rsidRPr="00FD3223" w:rsidRDefault="00ED1674" w:rsidP="00115F14">
      <w:pPr>
        <w:pStyle w:val="bullettedlist"/>
      </w:pPr>
      <w:hyperlink r:id="rId35">
        <w:r w:rsidR="009A4ECF" w:rsidRPr="151CDF5E">
          <w:rPr>
            <w:rStyle w:val="Hyperlink"/>
          </w:rPr>
          <w:t>Fact sheet: Effective consultation</w:t>
        </w:r>
      </w:hyperlink>
    </w:p>
    <w:p w14:paraId="59E4E5F5" w14:textId="6F75B694" w:rsidR="00853391" w:rsidRPr="00FD3223" w:rsidRDefault="00ED1674" w:rsidP="00115F14">
      <w:pPr>
        <w:pStyle w:val="bullettedlist"/>
      </w:pPr>
      <w:hyperlink r:id="rId36">
        <w:r w:rsidR="000278F9">
          <w:rPr>
            <w:rStyle w:val="Hyperlink"/>
          </w:rPr>
          <w:t xml:space="preserve">Fact sheet: Making a complaint under the DDA and </w:t>
        </w:r>
        <w:proofErr w:type="spellStart"/>
        <w:r w:rsidR="000278F9">
          <w:rPr>
            <w:rStyle w:val="Hyperlink"/>
          </w:rPr>
          <w:t>DSE</w:t>
        </w:r>
        <w:proofErr w:type="spellEnd"/>
      </w:hyperlink>
    </w:p>
    <w:p w14:paraId="69CCC68D" w14:textId="457D2709" w:rsidR="00853391" w:rsidRPr="00FD3223" w:rsidRDefault="00ED1674" w:rsidP="00115F14">
      <w:pPr>
        <w:pStyle w:val="bullettedlist"/>
      </w:pPr>
      <w:hyperlink r:id="rId37">
        <w:r w:rsidR="00574FF9" w:rsidRPr="151CDF5E">
          <w:rPr>
            <w:rStyle w:val="Hyperlink"/>
          </w:rPr>
          <w:t>Australian Skills Quality Authority Fact Sheet: P</w:t>
        </w:r>
        <w:r w:rsidR="009A4ECF" w:rsidRPr="151CDF5E">
          <w:rPr>
            <w:rStyle w:val="Hyperlink"/>
          </w:rPr>
          <w:t>roviding quality training and assessment services to students with disabilities</w:t>
        </w:r>
      </w:hyperlink>
    </w:p>
    <w:p w14:paraId="6FE9F7E5" w14:textId="77777777" w:rsidR="00853391" w:rsidRPr="00FD3223" w:rsidRDefault="00ED1674" w:rsidP="00115F14">
      <w:pPr>
        <w:pStyle w:val="bullettedlist"/>
      </w:pPr>
      <w:hyperlink r:id="rId38">
        <w:r w:rsidR="009A4ECF" w:rsidRPr="151CDF5E">
          <w:rPr>
            <w:rStyle w:val="Hyperlink"/>
          </w:rPr>
          <w:t>ADCET (Australian Disability Clearinghouse on Education and Training)</w:t>
        </w:r>
      </w:hyperlink>
    </w:p>
    <w:p w14:paraId="62F340C9" w14:textId="19B30866" w:rsidR="00853391" w:rsidRPr="003D5C3F" w:rsidRDefault="009A4ECF" w:rsidP="008E516A">
      <w:pPr>
        <w:pStyle w:val="Heading2"/>
      </w:pPr>
      <w:bookmarkStart w:id="15" w:name="_Toc173763667"/>
      <w:r w:rsidRPr="003D5C3F">
        <w:t>Disability Awareness e</w:t>
      </w:r>
      <w:r w:rsidR="00644F31" w:rsidRPr="003D5C3F">
        <w:t>-</w:t>
      </w:r>
      <w:r w:rsidRPr="003D5C3F">
        <w:t>Learning platform</w:t>
      </w:r>
      <w:bookmarkEnd w:id="15"/>
    </w:p>
    <w:p w14:paraId="29095123" w14:textId="77777777" w:rsidR="00853391" w:rsidRPr="00424945" w:rsidRDefault="00ED1674" w:rsidP="00115F14">
      <w:pPr>
        <w:pStyle w:val="bullettedlist"/>
        <w:rPr>
          <w:rStyle w:val="Hyperlink"/>
          <w:color w:val="auto"/>
          <w:u w:val="none"/>
        </w:rPr>
      </w:pPr>
      <w:hyperlink r:id="rId39">
        <w:r w:rsidR="009A4ECF" w:rsidRPr="151CDF5E">
          <w:rPr>
            <w:rStyle w:val="Hyperlink"/>
          </w:rPr>
          <w:t>Introduction to Disability Awareness</w:t>
        </w:r>
      </w:hyperlink>
    </w:p>
    <w:p w14:paraId="59DD2108" w14:textId="551D6743" w:rsidR="00424945" w:rsidRPr="00FD3223" w:rsidRDefault="00ED1674" w:rsidP="00115F14">
      <w:pPr>
        <w:pStyle w:val="bullettedlist"/>
      </w:pPr>
      <w:hyperlink r:id="rId40" w:history="1">
        <w:r w:rsidR="00424945" w:rsidRPr="002E12EA">
          <w:rPr>
            <w:rStyle w:val="Hyperlink"/>
          </w:rPr>
          <w:t>Secondary Education</w:t>
        </w:r>
      </w:hyperlink>
    </w:p>
    <w:p w14:paraId="3A2BB656" w14:textId="084C4C16" w:rsidR="00B105F8" w:rsidRPr="00FD3223" w:rsidRDefault="00293223" w:rsidP="00115F14">
      <w:pPr>
        <w:pStyle w:val="bullettedlist"/>
        <w:rPr>
          <w:rStyle w:val="Hyperlink"/>
        </w:rPr>
      </w:pPr>
      <w:r>
        <w:fldChar w:fldCharType="begin"/>
      </w:r>
      <w:r>
        <w:instrText xml:space="preserve"> HYPERLINK "https://disabilityawareness.com.au/courses/orientation-support-workers/" </w:instrText>
      </w:r>
      <w:r>
        <w:fldChar w:fldCharType="separate"/>
      </w:r>
      <w:r w:rsidR="00B105F8" w:rsidRPr="151CDF5E">
        <w:rPr>
          <w:rStyle w:val="Hyperlink"/>
        </w:rPr>
        <w:t>Orientation for External Support Workers in Tertiary Settings</w:t>
      </w:r>
    </w:p>
    <w:p w14:paraId="439BD65D" w14:textId="6AC6038C" w:rsidR="009A4ECF" w:rsidRPr="009E7587" w:rsidRDefault="00293223" w:rsidP="00115F14">
      <w:pPr>
        <w:pStyle w:val="bullettedlist"/>
        <w:rPr>
          <w:rStyle w:val="Hyperlink"/>
          <w:color w:val="auto"/>
          <w:u w:val="none"/>
        </w:rPr>
      </w:pPr>
      <w:r>
        <w:fldChar w:fldCharType="end"/>
      </w:r>
      <w:hyperlink r:id="rId41">
        <w:r w:rsidR="009A4ECF" w:rsidRPr="151CDF5E">
          <w:rPr>
            <w:rStyle w:val="Hyperlink"/>
          </w:rPr>
          <w:t>Online Access for Tertiary Students who are Blind or Vision Impaired</w:t>
        </w:r>
      </w:hyperlink>
    </w:p>
    <w:p w14:paraId="13F45388" w14:textId="77777777" w:rsidR="00424945" w:rsidRPr="00FD3223" w:rsidRDefault="00ED1674" w:rsidP="00115F14">
      <w:pPr>
        <w:pStyle w:val="bullettedlist"/>
      </w:pPr>
      <w:hyperlink r:id="rId42">
        <w:r w:rsidR="00424945" w:rsidRPr="151CDF5E">
          <w:rPr>
            <w:rStyle w:val="Hyperlink"/>
          </w:rPr>
          <w:t>Universal Design for Learning in Tertiary Education</w:t>
        </w:r>
      </w:hyperlink>
    </w:p>
    <w:p w14:paraId="09FF86B1" w14:textId="77777777" w:rsidR="00424945" w:rsidRPr="00FD3223" w:rsidRDefault="00ED1674" w:rsidP="00115F14">
      <w:pPr>
        <w:pStyle w:val="bullettedlist"/>
      </w:pPr>
      <w:hyperlink r:id="rId43">
        <w:r w:rsidR="00424945" w:rsidRPr="151CDF5E">
          <w:rPr>
            <w:rStyle w:val="Hyperlink"/>
          </w:rPr>
          <w:t>VET Staff Supporting Students with Disability</w:t>
        </w:r>
      </w:hyperlink>
    </w:p>
    <w:p w14:paraId="36136072" w14:textId="0381DD94" w:rsidR="009E7587" w:rsidRPr="00803330" w:rsidRDefault="00ED1674" w:rsidP="00115F14">
      <w:pPr>
        <w:pStyle w:val="bullettedlist"/>
        <w:rPr>
          <w:rStyle w:val="Hyperlink"/>
          <w:color w:val="auto"/>
          <w:u w:val="none"/>
        </w:rPr>
      </w:pPr>
      <w:hyperlink r:id="rId44">
        <w:r w:rsidR="00424945" w:rsidRPr="151CDF5E">
          <w:rPr>
            <w:rStyle w:val="Hyperlink"/>
          </w:rPr>
          <w:t>VET Educators Supporting Students with Disability</w:t>
        </w:r>
      </w:hyperlink>
    </w:p>
    <w:p w14:paraId="09F2EE1F" w14:textId="77777777" w:rsidR="009E7587" w:rsidRPr="00922DBC" w:rsidRDefault="009E7587" w:rsidP="00207E78">
      <w:pPr>
        <w:pStyle w:val="Heading4"/>
      </w:pPr>
      <w:r w:rsidRPr="00F22986">
        <w:t>Disclaimer</w:t>
      </w:r>
    </w:p>
    <w:p w14:paraId="234D7CA2" w14:textId="77777777" w:rsidR="00B22FC6" w:rsidRPr="00B22FC6" w:rsidRDefault="00B22FC6" w:rsidP="00B22FC6">
      <w:pPr>
        <w:rPr>
          <w:rFonts w:eastAsia="DengXian"/>
        </w:rPr>
      </w:pPr>
      <w:r w:rsidRPr="00B22FC6">
        <w:rPr>
          <w:rFonts w:eastAsia="DengXian"/>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45" w:history="1">
        <w:r w:rsidRPr="00B22FC6">
          <w:rPr>
            <w:rFonts w:eastAsia="DengXian"/>
            <w:i/>
            <w:color w:val="0563C1"/>
            <w:u w:val="single"/>
          </w:rPr>
          <w:t>adcet.edu.au/vet/disclaimer</w:t>
        </w:r>
      </w:hyperlink>
      <w:r w:rsidRPr="00B22FC6">
        <w:rPr>
          <w:rFonts w:eastAsia="DengXian"/>
        </w:rPr>
        <w:t xml:space="preserve"> or by contacting </w:t>
      </w:r>
      <w:r w:rsidRPr="00B22FC6">
        <w:rPr>
          <w:rFonts w:eastAsia="DengXian"/>
          <w:i/>
          <w:color w:val="0563C1"/>
          <w:u w:val="single"/>
        </w:rPr>
        <w:t xml:space="preserve">the </w:t>
      </w:r>
      <w:hyperlink r:id="rId46" w:history="1">
        <w:r w:rsidRPr="00B22FC6">
          <w:rPr>
            <w:rStyle w:val="Hyperlink"/>
          </w:rPr>
          <w:t>Department</w:t>
        </w:r>
        <w:r w:rsidRPr="00B22FC6">
          <w:rPr>
            <w:rFonts w:eastAsia="DengXian"/>
            <w:i/>
            <w:color w:val="0563C1"/>
            <w:u w:val="single"/>
          </w:rPr>
          <w:t xml:space="preserve"> of Employment and Workplace Relations</w:t>
        </w:r>
      </w:hyperlink>
      <w:r w:rsidRPr="00B22FC6">
        <w:rPr>
          <w:rFonts w:eastAsia="DengXian"/>
        </w:rPr>
        <w:t>.</w:t>
      </w:r>
    </w:p>
    <w:p w14:paraId="456AB19E" w14:textId="6EB3293E" w:rsidR="009E7587" w:rsidRPr="00FD3223" w:rsidRDefault="00B22FC6" w:rsidP="00B22FC6">
      <w:r w:rsidRPr="00B22FC6">
        <w:rPr>
          <w:rFonts w:eastAsia="DengXian"/>
        </w:rPr>
        <w:t xml:space="preserve">This resource is funded by the Australian Government Department of Employment and Workplace Relations through the </w:t>
      </w:r>
      <w:hyperlink r:id="rId47" w:history="1">
        <w:r w:rsidRPr="00B22FC6">
          <w:rPr>
            <w:rFonts w:eastAsia="DengXian"/>
            <w:i/>
            <w:color w:val="0563C1"/>
            <w:u w:val="single"/>
          </w:rPr>
          <w:t>Supporting Students with Disability in VET project and is hosted by ADCET</w:t>
        </w:r>
      </w:hyperlink>
      <w:r w:rsidRPr="00B22FC6">
        <w:rPr>
          <w:rFonts w:eastAsia="DengXian"/>
        </w:rPr>
        <w:t>.</w:t>
      </w:r>
    </w:p>
    <w:sectPr w:rsidR="009E7587" w:rsidRPr="00FD3223" w:rsidSect="00F85141">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682A0" w14:textId="77777777" w:rsidR="00CE2310" w:rsidRDefault="00CE2310" w:rsidP="00115F14">
      <w:r>
        <w:separator/>
      </w:r>
    </w:p>
  </w:endnote>
  <w:endnote w:type="continuationSeparator" w:id="0">
    <w:p w14:paraId="710664E7" w14:textId="77777777" w:rsidR="00CE2310" w:rsidRDefault="00CE2310" w:rsidP="00115F14">
      <w:r>
        <w:continuationSeparator/>
      </w:r>
    </w:p>
  </w:endnote>
  <w:endnote w:type="continuationNotice" w:id="1">
    <w:p w14:paraId="1CD2F638" w14:textId="77777777" w:rsidR="00CE2310" w:rsidRDefault="00CE2310" w:rsidP="00115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8E868" w14:textId="77777777" w:rsidR="00136C72" w:rsidRDefault="00136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7B94B" w14:textId="30E40018" w:rsidR="00DA33AD" w:rsidRPr="00D70D8D" w:rsidRDefault="00D70D8D" w:rsidP="00D70D8D">
    <w:pPr>
      <w:pStyle w:val="Footer"/>
      <w:pBdr>
        <w:top w:val="single" w:sz="4" w:space="1" w:color="auto"/>
      </w:pBdr>
      <w:spacing w:before="0" w:after="0"/>
      <w:rPr>
        <w:sz w:val="20"/>
        <w:szCs w:val="20"/>
      </w:rPr>
    </w:pPr>
    <w:r w:rsidRPr="00D70D8D">
      <w:rPr>
        <w:sz w:val="20"/>
        <w:szCs w:val="20"/>
      </w:rPr>
      <w:t>Introductory Guide</w:t>
    </w:r>
    <w:r w:rsidR="00352BF7" w:rsidRPr="00D70D8D">
      <w:rPr>
        <w:sz w:val="20"/>
        <w:szCs w:val="20"/>
      </w:rPr>
      <w:tab/>
    </w:r>
    <w:r w:rsidR="00352BF7" w:rsidRPr="00D70D8D">
      <w:rPr>
        <w:sz w:val="20"/>
        <w:szCs w:val="20"/>
      </w:rPr>
      <w:tab/>
    </w:r>
    <w:r w:rsidR="00CF7275" w:rsidRPr="00B22FC6">
      <w:rPr>
        <w:sz w:val="20"/>
        <w:szCs w:val="20"/>
      </w:rPr>
      <w:fldChar w:fldCharType="begin"/>
    </w:r>
    <w:r w:rsidR="00CF7275" w:rsidRPr="00B22FC6">
      <w:rPr>
        <w:sz w:val="20"/>
        <w:szCs w:val="20"/>
      </w:rPr>
      <w:instrText xml:space="preserve"> PAGE  \* Arabic  \* MERGEFORMAT </w:instrText>
    </w:r>
    <w:r w:rsidR="00CF7275" w:rsidRPr="00B22FC6">
      <w:rPr>
        <w:sz w:val="20"/>
        <w:szCs w:val="20"/>
      </w:rPr>
      <w:fldChar w:fldCharType="separate"/>
    </w:r>
    <w:r w:rsidR="00CF7275" w:rsidRPr="00B22FC6">
      <w:rPr>
        <w:noProof/>
        <w:sz w:val="20"/>
        <w:szCs w:val="20"/>
      </w:rPr>
      <w:t>1</w:t>
    </w:r>
    <w:r w:rsidR="00CF7275" w:rsidRPr="00B22FC6">
      <w:rPr>
        <w:sz w:val="20"/>
        <w:szCs w:val="20"/>
      </w:rPr>
      <w:fldChar w:fldCharType="end"/>
    </w:r>
  </w:p>
  <w:p w14:paraId="28670F33" w14:textId="7785F465" w:rsidR="00246773" w:rsidRPr="00D70D8D" w:rsidRDefault="00246773" w:rsidP="00D70D8D">
    <w:pPr>
      <w:pStyle w:val="Footer"/>
      <w:pBdr>
        <w:top w:val="single" w:sz="4" w:space="1" w:color="auto"/>
      </w:pBdr>
      <w:spacing w:before="0" w:after="0"/>
      <w:rPr>
        <w:sz w:val="20"/>
        <w:szCs w:val="20"/>
      </w:rPr>
    </w:pPr>
    <w:r w:rsidRPr="00D70D8D">
      <w:rPr>
        <w:sz w:val="20"/>
        <w:szCs w:val="20"/>
      </w:rPr>
      <w:t>Supporting Students with Disability in VET</w:t>
    </w:r>
    <w:r w:rsidR="00B22FC6" w:rsidRPr="00B22FC6">
      <w:rPr>
        <w:rFonts w:eastAsia="SimSun"/>
        <w:sz w:val="20"/>
        <w:szCs w:val="20"/>
      </w:rPr>
      <w:t xml:space="preserve"> - </w:t>
    </w:r>
    <w:hyperlink r:id="rId1" w:history="1">
      <w:r w:rsidR="00B22FC6" w:rsidRPr="00B22FC6">
        <w:rPr>
          <w:rFonts w:eastAsia="SimSun" w:cs="Arial"/>
          <w:i/>
          <w:color w:val="0563C1"/>
          <w:sz w:val="20"/>
          <w:szCs w:val="20"/>
          <w:u w:val="single"/>
        </w:rPr>
        <w:t>adcet.edu.au/vet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33F33" w14:textId="77777777" w:rsidR="00136C72" w:rsidRDefault="0013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EEB57" w14:textId="77777777" w:rsidR="00CE2310" w:rsidRDefault="00CE2310" w:rsidP="00115F14">
      <w:r>
        <w:separator/>
      </w:r>
    </w:p>
  </w:footnote>
  <w:footnote w:type="continuationSeparator" w:id="0">
    <w:p w14:paraId="10D67F9C" w14:textId="77777777" w:rsidR="00CE2310" w:rsidRDefault="00CE2310" w:rsidP="00115F14">
      <w:r>
        <w:continuationSeparator/>
      </w:r>
    </w:p>
  </w:footnote>
  <w:footnote w:type="continuationNotice" w:id="1">
    <w:p w14:paraId="2946A7FA" w14:textId="77777777" w:rsidR="00CE2310" w:rsidRDefault="00CE2310" w:rsidP="00115F14"/>
  </w:footnote>
  <w:footnote w:id="2">
    <w:p w14:paraId="46819013" w14:textId="3606729E" w:rsidR="00426499" w:rsidRDefault="00426499" w:rsidP="00480723">
      <w:pPr>
        <w:pStyle w:val="FootnoteText"/>
        <w:spacing w:before="0" w:after="0"/>
      </w:pPr>
      <w:r>
        <w:rPr>
          <w:rStyle w:val="FootnoteReference"/>
        </w:rPr>
        <w:footnoteRef/>
      </w:r>
      <w:r>
        <w:t xml:space="preserve"> </w:t>
      </w:r>
      <w:r w:rsidRPr="00426499">
        <w:t>Convention on the Rights of People with Disabilities:</w:t>
      </w:r>
      <w:r w:rsidR="000A0F34" w:rsidRPr="000A0F34">
        <w:t xml:space="preserve"> </w:t>
      </w:r>
      <w:hyperlink r:id="rId1" w:history="1">
        <w:r w:rsidR="000A0F34" w:rsidRPr="00965FC6">
          <w:rPr>
            <w:rStyle w:val="Hyperlink"/>
            <w:rFonts w:eastAsiaTheme="minorEastAsia"/>
          </w:rPr>
          <w:t>https://social.desa.un.org/issues/disability/crpd/article-24-education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FDCD4" w14:textId="77777777" w:rsidR="00136C72" w:rsidRDefault="00136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E1013" w14:textId="46C04E88" w:rsidR="00854B75" w:rsidRDefault="00854B75" w:rsidP="00115F14">
    <w:bookmarkStart w:id="16" w:name="_Hlk119593823"/>
  </w:p>
  <w:bookmarkEnd w:id="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9D2BA" w14:textId="77777777" w:rsidR="00136C72" w:rsidRDefault="00136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4DCD"/>
    <w:multiLevelType w:val="multilevel"/>
    <w:tmpl w:val="02D4F3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F4578"/>
    <w:multiLevelType w:val="hybridMultilevel"/>
    <w:tmpl w:val="A3268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2C03BC"/>
    <w:multiLevelType w:val="multilevel"/>
    <w:tmpl w:val="E3F6F6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62D9E"/>
    <w:multiLevelType w:val="multilevel"/>
    <w:tmpl w:val="7D40A7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C73EE"/>
    <w:multiLevelType w:val="multilevel"/>
    <w:tmpl w:val="80BC28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8C49BD"/>
    <w:multiLevelType w:val="multilevel"/>
    <w:tmpl w:val="A268DC56"/>
    <w:lvl w:ilvl="0">
      <w:start w:val="1"/>
      <w:numFmt w:val="bullet"/>
      <w:pStyle w:val="bullettedlist"/>
      <w:lvlText w:val=""/>
      <w:lvlJc w:val="left"/>
      <w:pPr>
        <w:ind w:left="360" w:hanging="360"/>
      </w:pPr>
      <w:rPr>
        <w:rFonts w:ascii="Wingdings" w:hAnsi="Wingdings" w:hint="default"/>
        <w:b w:val="0"/>
        <w:i w:val="0"/>
        <w:color w:val="auto"/>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246182"/>
    <w:multiLevelType w:val="multilevel"/>
    <w:tmpl w:val="1602CE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400D98"/>
    <w:multiLevelType w:val="multilevel"/>
    <w:tmpl w:val="495013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CA1A25"/>
    <w:multiLevelType w:val="multilevel"/>
    <w:tmpl w:val="7FC414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6E1C3D"/>
    <w:multiLevelType w:val="hybridMultilevel"/>
    <w:tmpl w:val="6E040D3C"/>
    <w:lvl w:ilvl="0" w:tplc="34A286B4">
      <w:start w:val="1"/>
      <w:numFmt w:val="bullet"/>
      <w:lvlText w:val=""/>
      <w:lvlJc w:val="left"/>
      <w:pPr>
        <w:ind w:left="360" w:hanging="360"/>
      </w:pPr>
      <w:rPr>
        <w:rFonts w:ascii="Wingdings" w:hAnsi="Wingdings" w:hint="default"/>
      </w:rPr>
    </w:lvl>
    <w:lvl w:ilvl="1" w:tplc="1AD6DE2A">
      <w:start w:val="1"/>
      <w:numFmt w:val="bullet"/>
      <w:lvlText w:val="o"/>
      <w:lvlJc w:val="left"/>
      <w:pPr>
        <w:ind w:left="1080" w:hanging="360"/>
      </w:pPr>
      <w:rPr>
        <w:rFonts w:ascii="Courier New" w:hAnsi="Courier New" w:hint="default"/>
      </w:rPr>
    </w:lvl>
    <w:lvl w:ilvl="2" w:tplc="8000269C">
      <w:start w:val="1"/>
      <w:numFmt w:val="bullet"/>
      <w:lvlText w:val=""/>
      <w:lvlJc w:val="left"/>
      <w:pPr>
        <w:ind w:left="1800" w:hanging="360"/>
      </w:pPr>
      <w:rPr>
        <w:rFonts w:ascii="Wingdings" w:hAnsi="Wingdings" w:hint="default"/>
      </w:rPr>
    </w:lvl>
    <w:lvl w:ilvl="3" w:tplc="901624F0">
      <w:start w:val="1"/>
      <w:numFmt w:val="bullet"/>
      <w:lvlText w:val=""/>
      <w:lvlJc w:val="left"/>
      <w:pPr>
        <w:ind w:left="2520" w:hanging="360"/>
      </w:pPr>
      <w:rPr>
        <w:rFonts w:ascii="Symbol" w:hAnsi="Symbol" w:hint="default"/>
      </w:rPr>
    </w:lvl>
    <w:lvl w:ilvl="4" w:tplc="8AA425DC">
      <w:start w:val="1"/>
      <w:numFmt w:val="bullet"/>
      <w:lvlText w:val="o"/>
      <w:lvlJc w:val="left"/>
      <w:pPr>
        <w:ind w:left="3240" w:hanging="360"/>
      </w:pPr>
      <w:rPr>
        <w:rFonts w:ascii="Courier New" w:hAnsi="Courier New" w:hint="default"/>
      </w:rPr>
    </w:lvl>
    <w:lvl w:ilvl="5" w:tplc="DD140310">
      <w:start w:val="1"/>
      <w:numFmt w:val="bullet"/>
      <w:lvlText w:val=""/>
      <w:lvlJc w:val="left"/>
      <w:pPr>
        <w:ind w:left="3960" w:hanging="360"/>
      </w:pPr>
      <w:rPr>
        <w:rFonts w:ascii="Wingdings" w:hAnsi="Wingdings" w:hint="default"/>
      </w:rPr>
    </w:lvl>
    <w:lvl w:ilvl="6" w:tplc="E676CCF4">
      <w:start w:val="1"/>
      <w:numFmt w:val="bullet"/>
      <w:lvlText w:val=""/>
      <w:lvlJc w:val="left"/>
      <w:pPr>
        <w:ind w:left="4680" w:hanging="360"/>
      </w:pPr>
      <w:rPr>
        <w:rFonts w:ascii="Symbol" w:hAnsi="Symbol" w:hint="default"/>
      </w:rPr>
    </w:lvl>
    <w:lvl w:ilvl="7" w:tplc="66CE4CFA">
      <w:start w:val="1"/>
      <w:numFmt w:val="bullet"/>
      <w:lvlText w:val="o"/>
      <w:lvlJc w:val="left"/>
      <w:pPr>
        <w:ind w:left="5400" w:hanging="360"/>
      </w:pPr>
      <w:rPr>
        <w:rFonts w:ascii="Courier New" w:hAnsi="Courier New" w:hint="default"/>
      </w:rPr>
    </w:lvl>
    <w:lvl w:ilvl="8" w:tplc="A462E13A">
      <w:start w:val="1"/>
      <w:numFmt w:val="bullet"/>
      <w:lvlText w:val=""/>
      <w:lvlJc w:val="left"/>
      <w:pPr>
        <w:ind w:left="6120" w:hanging="360"/>
      </w:pPr>
      <w:rPr>
        <w:rFonts w:ascii="Wingdings" w:hAnsi="Wingdings" w:hint="default"/>
      </w:rPr>
    </w:lvl>
  </w:abstractNum>
  <w:abstractNum w:abstractNumId="10" w15:restartNumberingAfterBreak="0">
    <w:nsid w:val="7D5E47DB"/>
    <w:multiLevelType w:val="multilevel"/>
    <w:tmpl w:val="AC28EE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91476528">
    <w:abstractNumId w:val="9"/>
  </w:num>
  <w:num w:numId="2" w16cid:durableId="1288469262">
    <w:abstractNumId w:val="5"/>
  </w:num>
  <w:num w:numId="3" w16cid:durableId="1234777402">
    <w:abstractNumId w:val="2"/>
  </w:num>
  <w:num w:numId="4" w16cid:durableId="966931447">
    <w:abstractNumId w:val="8"/>
  </w:num>
  <w:num w:numId="5" w16cid:durableId="1760174081">
    <w:abstractNumId w:val="4"/>
  </w:num>
  <w:num w:numId="6" w16cid:durableId="93093254">
    <w:abstractNumId w:val="6"/>
  </w:num>
  <w:num w:numId="7" w16cid:durableId="319577572">
    <w:abstractNumId w:val="3"/>
  </w:num>
  <w:num w:numId="8" w16cid:durableId="30961448">
    <w:abstractNumId w:val="0"/>
  </w:num>
  <w:num w:numId="9" w16cid:durableId="1478643093">
    <w:abstractNumId w:val="10"/>
  </w:num>
  <w:num w:numId="10" w16cid:durableId="1414353821">
    <w:abstractNumId w:val="7"/>
  </w:num>
  <w:num w:numId="11" w16cid:durableId="1808236098">
    <w:abstractNumId w:val="1"/>
  </w:num>
  <w:num w:numId="12" w16cid:durableId="939292181">
    <w:abstractNumId w:val="5"/>
  </w:num>
  <w:num w:numId="13" w16cid:durableId="1941834072">
    <w:abstractNumId w:val="5"/>
  </w:num>
  <w:num w:numId="14" w16cid:durableId="1709184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yNzQ1MzQ2szQ0MzNR0lEKTi0uzszPAykwrgUASIFybywAAAA="/>
  </w:docVars>
  <w:rsids>
    <w:rsidRoot w:val="009F0AD3"/>
    <w:rsid w:val="0000140A"/>
    <w:rsid w:val="00002855"/>
    <w:rsid w:val="000143E9"/>
    <w:rsid w:val="00014E3E"/>
    <w:rsid w:val="00014F09"/>
    <w:rsid w:val="00022C10"/>
    <w:rsid w:val="00027816"/>
    <w:rsid w:val="000278F9"/>
    <w:rsid w:val="00030731"/>
    <w:rsid w:val="00037B8B"/>
    <w:rsid w:val="00040D8A"/>
    <w:rsid w:val="00041187"/>
    <w:rsid w:val="00051411"/>
    <w:rsid w:val="00057206"/>
    <w:rsid w:val="00060387"/>
    <w:rsid w:val="00066BE6"/>
    <w:rsid w:val="00074894"/>
    <w:rsid w:val="00077713"/>
    <w:rsid w:val="00077AC3"/>
    <w:rsid w:val="0008096C"/>
    <w:rsid w:val="000812D0"/>
    <w:rsid w:val="00083E94"/>
    <w:rsid w:val="00086878"/>
    <w:rsid w:val="00086E72"/>
    <w:rsid w:val="000907DC"/>
    <w:rsid w:val="00095626"/>
    <w:rsid w:val="000A0F34"/>
    <w:rsid w:val="000A4BD1"/>
    <w:rsid w:val="000B0C75"/>
    <w:rsid w:val="000C3690"/>
    <w:rsid w:val="000D1013"/>
    <w:rsid w:val="000D1742"/>
    <w:rsid w:val="000D36B2"/>
    <w:rsid w:val="000D5402"/>
    <w:rsid w:val="000D65CA"/>
    <w:rsid w:val="000D6D1E"/>
    <w:rsid w:val="000E488A"/>
    <w:rsid w:val="000F12DD"/>
    <w:rsid w:val="000F373C"/>
    <w:rsid w:val="00103DBA"/>
    <w:rsid w:val="001103A8"/>
    <w:rsid w:val="00115F14"/>
    <w:rsid w:val="0011704D"/>
    <w:rsid w:val="00121EDF"/>
    <w:rsid w:val="001350AC"/>
    <w:rsid w:val="00136C72"/>
    <w:rsid w:val="001378BB"/>
    <w:rsid w:val="001405D7"/>
    <w:rsid w:val="00144AFA"/>
    <w:rsid w:val="00144EC3"/>
    <w:rsid w:val="00146AF4"/>
    <w:rsid w:val="00146B69"/>
    <w:rsid w:val="00151299"/>
    <w:rsid w:val="0016790A"/>
    <w:rsid w:val="00172E5D"/>
    <w:rsid w:val="00177DD4"/>
    <w:rsid w:val="00181B74"/>
    <w:rsid w:val="0018611F"/>
    <w:rsid w:val="00197B5C"/>
    <w:rsid w:val="001A5D9F"/>
    <w:rsid w:val="001B1D69"/>
    <w:rsid w:val="001B227B"/>
    <w:rsid w:val="001C2E8E"/>
    <w:rsid w:val="001D118C"/>
    <w:rsid w:val="001D6521"/>
    <w:rsid w:val="001E5751"/>
    <w:rsid w:val="001F087C"/>
    <w:rsid w:val="001F1E96"/>
    <w:rsid w:val="001F266A"/>
    <w:rsid w:val="00201CCD"/>
    <w:rsid w:val="00202EEE"/>
    <w:rsid w:val="00205F5D"/>
    <w:rsid w:val="00206958"/>
    <w:rsid w:val="00207E78"/>
    <w:rsid w:val="00213C1C"/>
    <w:rsid w:val="0021704F"/>
    <w:rsid w:val="00222524"/>
    <w:rsid w:val="002266B8"/>
    <w:rsid w:val="00234A1C"/>
    <w:rsid w:val="002421B7"/>
    <w:rsid w:val="002464E3"/>
    <w:rsid w:val="00246773"/>
    <w:rsid w:val="00247FE7"/>
    <w:rsid w:val="00252D8B"/>
    <w:rsid w:val="00257B56"/>
    <w:rsid w:val="002652DA"/>
    <w:rsid w:val="00266199"/>
    <w:rsid w:val="00267EB4"/>
    <w:rsid w:val="00270C56"/>
    <w:rsid w:val="002735D0"/>
    <w:rsid w:val="002760B8"/>
    <w:rsid w:val="00280006"/>
    <w:rsid w:val="002852A2"/>
    <w:rsid w:val="002878CB"/>
    <w:rsid w:val="00293223"/>
    <w:rsid w:val="00297695"/>
    <w:rsid w:val="00297FC0"/>
    <w:rsid w:val="002A05E6"/>
    <w:rsid w:val="002A0912"/>
    <w:rsid w:val="002B0712"/>
    <w:rsid w:val="002C2CA1"/>
    <w:rsid w:val="002C7B63"/>
    <w:rsid w:val="002D04E6"/>
    <w:rsid w:val="002D7526"/>
    <w:rsid w:val="002E12EA"/>
    <w:rsid w:val="002E448F"/>
    <w:rsid w:val="002F42DE"/>
    <w:rsid w:val="00300646"/>
    <w:rsid w:val="003046BC"/>
    <w:rsid w:val="003071A5"/>
    <w:rsid w:val="003161FA"/>
    <w:rsid w:val="00316DC0"/>
    <w:rsid w:val="0032043C"/>
    <w:rsid w:val="00322F56"/>
    <w:rsid w:val="00326D2B"/>
    <w:rsid w:val="003307A2"/>
    <w:rsid w:val="00333266"/>
    <w:rsid w:val="00344ED4"/>
    <w:rsid w:val="00352BF7"/>
    <w:rsid w:val="00352C4F"/>
    <w:rsid w:val="00361AE0"/>
    <w:rsid w:val="00367AB4"/>
    <w:rsid w:val="0037173C"/>
    <w:rsid w:val="003809D2"/>
    <w:rsid w:val="0038367F"/>
    <w:rsid w:val="003837DD"/>
    <w:rsid w:val="0038488B"/>
    <w:rsid w:val="003A00CF"/>
    <w:rsid w:val="003A01B1"/>
    <w:rsid w:val="003A02BC"/>
    <w:rsid w:val="003A188D"/>
    <w:rsid w:val="003B737E"/>
    <w:rsid w:val="003C6402"/>
    <w:rsid w:val="003D5C3F"/>
    <w:rsid w:val="003E23E7"/>
    <w:rsid w:val="003F0616"/>
    <w:rsid w:val="003F4ADC"/>
    <w:rsid w:val="003F7193"/>
    <w:rsid w:val="00404456"/>
    <w:rsid w:val="004050BA"/>
    <w:rsid w:val="00413182"/>
    <w:rsid w:val="00417E79"/>
    <w:rsid w:val="00424945"/>
    <w:rsid w:val="00425D41"/>
    <w:rsid w:val="00426499"/>
    <w:rsid w:val="00430F92"/>
    <w:rsid w:val="00440650"/>
    <w:rsid w:val="0044683F"/>
    <w:rsid w:val="00451787"/>
    <w:rsid w:val="004517F3"/>
    <w:rsid w:val="00453CD5"/>
    <w:rsid w:val="00464611"/>
    <w:rsid w:val="0047302E"/>
    <w:rsid w:val="004751A6"/>
    <w:rsid w:val="00477009"/>
    <w:rsid w:val="00480723"/>
    <w:rsid w:val="00481DB5"/>
    <w:rsid w:val="00482180"/>
    <w:rsid w:val="004873DD"/>
    <w:rsid w:val="004907FD"/>
    <w:rsid w:val="00490F66"/>
    <w:rsid w:val="00493383"/>
    <w:rsid w:val="00493ABC"/>
    <w:rsid w:val="004978B1"/>
    <w:rsid w:val="004A1570"/>
    <w:rsid w:val="004A1FDC"/>
    <w:rsid w:val="004A5071"/>
    <w:rsid w:val="004B3B86"/>
    <w:rsid w:val="004D1325"/>
    <w:rsid w:val="004F52CB"/>
    <w:rsid w:val="004F63FA"/>
    <w:rsid w:val="00501808"/>
    <w:rsid w:val="0050229C"/>
    <w:rsid w:val="00502D54"/>
    <w:rsid w:val="0050395F"/>
    <w:rsid w:val="00511D3F"/>
    <w:rsid w:val="00515AB0"/>
    <w:rsid w:val="00517C08"/>
    <w:rsid w:val="00520D1C"/>
    <w:rsid w:val="005216D1"/>
    <w:rsid w:val="00532868"/>
    <w:rsid w:val="0053303B"/>
    <w:rsid w:val="00535E4A"/>
    <w:rsid w:val="0054068A"/>
    <w:rsid w:val="00540CBB"/>
    <w:rsid w:val="0054297D"/>
    <w:rsid w:val="00545B7A"/>
    <w:rsid w:val="0055128F"/>
    <w:rsid w:val="00552B9C"/>
    <w:rsid w:val="00555358"/>
    <w:rsid w:val="00572758"/>
    <w:rsid w:val="00574FF9"/>
    <w:rsid w:val="0058254D"/>
    <w:rsid w:val="005828A2"/>
    <w:rsid w:val="00583DB3"/>
    <w:rsid w:val="0058454B"/>
    <w:rsid w:val="00584FE3"/>
    <w:rsid w:val="005859C5"/>
    <w:rsid w:val="0059518E"/>
    <w:rsid w:val="0059674D"/>
    <w:rsid w:val="00597662"/>
    <w:rsid w:val="005A2A50"/>
    <w:rsid w:val="005A54C6"/>
    <w:rsid w:val="005B12EE"/>
    <w:rsid w:val="005C2709"/>
    <w:rsid w:val="005C4AAD"/>
    <w:rsid w:val="005C7758"/>
    <w:rsid w:val="005D25C0"/>
    <w:rsid w:val="005E2E95"/>
    <w:rsid w:val="006066BC"/>
    <w:rsid w:val="00606704"/>
    <w:rsid w:val="0061469F"/>
    <w:rsid w:val="0062184B"/>
    <w:rsid w:val="0062345D"/>
    <w:rsid w:val="00627972"/>
    <w:rsid w:val="00627EBA"/>
    <w:rsid w:val="00635C2A"/>
    <w:rsid w:val="00640A3C"/>
    <w:rsid w:val="00642622"/>
    <w:rsid w:val="00643A98"/>
    <w:rsid w:val="00643B44"/>
    <w:rsid w:val="0064420A"/>
    <w:rsid w:val="00644F31"/>
    <w:rsid w:val="006460EE"/>
    <w:rsid w:val="006472B2"/>
    <w:rsid w:val="00647FF2"/>
    <w:rsid w:val="00654268"/>
    <w:rsid w:val="006652E1"/>
    <w:rsid w:val="006815CF"/>
    <w:rsid w:val="00685FEF"/>
    <w:rsid w:val="0068694D"/>
    <w:rsid w:val="00692CE5"/>
    <w:rsid w:val="006A1750"/>
    <w:rsid w:val="006A3F54"/>
    <w:rsid w:val="006A413B"/>
    <w:rsid w:val="006A4990"/>
    <w:rsid w:val="006A6042"/>
    <w:rsid w:val="006A71B6"/>
    <w:rsid w:val="006B1CB5"/>
    <w:rsid w:val="006C320A"/>
    <w:rsid w:val="006D00DB"/>
    <w:rsid w:val="006D4C31"/>
    <w:rsid w:val="006E056F"/>
    <w:rsid w:val="006E3358"/>
    <w:rsid w:val="006E724F"/>
    <w:rsid w:val="006F0F1A"/>
    <w:rsid w:val="0070174A"/>
    <w:rsid w:val="0071423F"/>
    <w:rsid w:val="0071636D"/>
    <w:rsid w:val="007175ED"/>
    <w:rsid w:val="00720AFC"/>
    <w:rsid w:val="0072533C"/>
    <w:rsid w:val="00725AF4"/>
    <w:rsid w:val="00732620"/>
    <w:rsid w:val="00737FE4"/>
    <w:rsid w:val="0074524C"/>
    <w:rsid w:val="00745D09"/>
    <w:rsid w:val="00746E0B"/>
    <w:rsid w:val="00751938"/>
    <w:rsid w:val="007749C4"/>
    <w:rsid w:val="00781ECA"/>
    <w:rsid w:val="0078549F"/>
    <w:rsid w:val="007867C0"/>
    <w:rsid w:val="00796586"/>
    <w:rsid w:val="00797ACF"/>
    <w:rsid w:val="007A22AC"/>
    <w:rsid w:val="007A72D8"/>
    <w:rsid w:val="007A7E5C"/>
    <w:rsid w:val="007B047B"/>
    <w:rsid w:val="007B299E"/>
    <w:rsid w:val="007B64E7"/>
    <w:rsid w:val="007E5D8D"/>
    <w:rsid w:val="007F5D47"/>
    <w:rsid w:val="00803330"/>
    <w:rsid w:val="00807971"/>
    <w:rsid w:val="0081732C"/>
    <w:rsid w:val="0082042F"/>
    <w:rsid w:val="00830FBB"/>
    <w:rsid w:val="00831443"/>
    <w:rsid w:val="008371E8"/>
    <w:rsid w:val="00846E9B"/>
    <w:rsid w:val="00852ED3"/>
    <w:rsid w:val="00853391"/>
    <w:rsid w:val="00854B75"/>
    <w:rsid w:val="00860645"/>
    <w:rsid w:val="00861172"/>
    <w:rsid w:val="00861452"/>
    <w:rsid w:val="0086176C"/>
    <w:rsid w:val="008631D4"/>
    <w:rsid w:val="0087433C"/>
    <w:rsid w:val="008773BD"/>
    <w:rsid w:val="0088252A"/>
    <w:rsid w:val="008871F9"/>
    <w:rsid w:val="00894000"/>
    <w:rsid w:val="008A04B5"/>
    <w:rsid w:val="008A3F7A"/>
    <w:rsid w:val="008A4E22"/>
    <w:rsid w:val="008B178E"/>
    <w:rsid w:val="008B6B23"/>
    <w:rsid w:val="008B7E42"/>
    <w:rsid w:val="008C355C"/>
    <w:rsid w:val="008C634E"/>
    <w:rsid w:val="008C7B3D"/>
    <w:rsid w:val="008E516A"/>
    <w:rsid w:val="008F48EA"/>
    <w:rsid w:val="008F7F74"/>
    <w:rsid w:val="00901098"/>
    <w:rsid w:val="0090772D"/>
    <w:rsid w:val="00920520"/>
    <w:rsid w:val="00922DBC"/>
    <w:rsid w:val="0092384C"/>
    <w:rsid w:val="00931245"/>
    <w:rsid w:val="00933F7E"/>
    <w:rsid w:val="00937465"/>
    <w:rsid w:val="009423AD"/>
    <w:rsid w:val="00945572"/>
    <w:rsid w:val="0094595C"/>
    <w:rsid w:val="00947EE6"/>
    <w:rsid w:val="009529B5"/>
    <w:rsid w:val="0095591E"/>
    <w:rsid w:val="00957FEC"/>
    <w:rsid w:val="009727CB"/>
    <w:rsid w:val="009729C7"/>
    <w:rsid w:val="00985517"/>
    <w:rsid w:val="00987CD5"/>
    <w:rsid w:val="00990C2C"/>
    <w:rsid w:val="00991EF9"/>
    <w:rsid w:val="00993E35"/>
    <w:rsid w:val="009A4ECF"/>
    <w:rsid w:val="009A641C"/>
    <w:rsid w:val="009B4FA8"/>
    <w:rsid w:val="009B7809"/>
    <w:rsid w:val="009B7E59"/>
    <w:rsid w:val="009D3609"/>
    <w:rsid w:val="009D7E44"/>
    <w:rsid w:val="009E7587"/>
    <w:rsid w:val="009F0AD3"/>
    <w:rsid w:val="009F7E73"/>
    <w:rsid w:val="00A01938"/>
    <w:rsid w:val="00A22472"/>
    <w:rsid w:val="00A237F2"/>
    <w:rsid w:val="00A25A07"/>
    <w:rsid w:val="00A40AA6"/>
    <w:rsid w:val="00A6172D"/>
    <w:rsid w:val="00A64E44"/>
    <w:rsid w:val="00A71BD7"/>
    <w:rsid w:val="00A74C9A"/>
    <w:rsid w:val="00A81278"/>
    <w:rsid w:val="00A85DC3"/>
    <w:rsid w:val="00A952D8"/>
    <w:rsid w:val="00A96E0F"/>
    <w:rsid w:val="00AA39B8"/>
    <w:rsid w:val="00AB2981"/>
    <w:rsid w:val="00AB5032"/>
    <w:rsid w:val="00AC6ACD"/>
    <w:rsid w:val="00AC6E68"/>
    <w:rsid w:val="00AD462C"/>
    <w:rsid w:val="00AE427C"/>
    <w:rsid w:val="00B105F8"/>
    <w:rsid w:val="00B11498"/>
    <w:rsid w:val="00B1193F"/>
    <w:rsid w:val="00B20C8B"/>
    <w:rsid w:val="00B22FC6"/>
    <w:rsid w:val="00B241A7"/>
    <w:rsid w:val="00B32472"/>
    <w:rsid w:val="00B3422F"/>
    <w:rsid w:val="00B43CC8"/>
    <w:rsid w:val="00B55B5B"/>
    <w:rsid w:val="00B61391"/>
    <w:rsid w:val="00B645D8"/>
    <w:rsid w:val="00B67CC8"/>
    <w:rsid w:val="00B75B0B"/>
    <w:rsid w:val="00B94EDC"/>
    <w:rsid w:val="00B95311"/>
    <w:rsid w:val="00BA6DEA"/>
    <w:rsid w:val="00BB05B6"/>
    <w:rsid w:val="00BC0E41"/>
    <w:rsid w:val="00BC33E3"/>
    <w:rsid w:val="00BC40BA"/>
    <w:rsid w:val="00BC7E77"/>
    <w:rsid w:val="00BD1279"/>
    <w:rsid w:val="00BD580F"/>
    <w:rsid w:val="00BE169F"/>
    <w:rsid w:val="00BE53CA"/>
    <w:rsid w:val="00BE5CA4"/>
    <w:rsid w:val="00BE7E79"/>
    <w:rsid w:val="00BF0B90"/>
    <w:rsid w:val="00BF67AB"/>
    <w:rsid w:val="00C0348B"/>
    <w:rsid w:val="00C069C3"/>
    <w:rsid w:val="00C16225"/>
    <w:rsid w:val="00C2318D"/>
    <w:rsid w:val="00C25140"/>
    <w:rsid w:val="00C27A70"/>
    <w:rsid w:val="00C331F4"/>
    <w:rsid w:val="00C41F7D"/>
    <w:rsid w:val="00C42670"/>
    <w:rsid w:val="00C42835"/>
    <w:rsid w:val="00C64283"/>
    <w:rsid w:val="00C64417"/>
    <w:rsid w:val="00C71F04"/>
    <w:rsid w:val="00C80EB3"/>
    <w:rsid w:val="00C84280"/>
    <w:rsid w:val="00C865F0"/>
    <w:rsid w:val="00C914C4"/>
    <w:rsid w:val="00C91713"/>
    <w:rsid w:val="00C94BE1"/>
    <w:rsid w:val="00C95199"/>
    <w:rsid w:val="00CA0081"/>
    <w:rsid w:val="00CB3CA9"/>
    <w:rsid w:val="00CC1690"/>
    <w:rsid w:val="00CC2C15"/>
    <w:rsid w:val="00CD5FB7"/>
    <w:rsid w:val="00CE2310"/>
    <w:rsid w:val="00CE3627"/>
    <w:rsid w:val="00CF2917"/>
    <w:rsid w:val="00CF7275"/>
    <w:rsid w:val="00D03E78"/>
    <w:rsid w:val="00D0623C"/>
    <w:rsid w:val="00D06B84"/>
    <w:rsid w:val="00D06E68"/>
    <w:rsid w:val="00D17742"/>
    <w:rsid w:val="00D177B7"/>
    <w:rsid w:val="00D265A2"/>
    <w:rsid w:val="00D27897"/>
    <w:rsid w:val="00D35919"/>
    <w:rsid w:val="00D42007"/>
    <w:rsid w:val="00D47E8F"/>
    <w:rsid w:val="00D50933"/>
    <w:rsid w:val="00D57380"/>
    <w:rsid w:val="00D57FF1"/>
    <w:rsid w:val="00D63D1F"/>
    <w:rsid w:val="00D667F2"/>
    <w:rsid w:val="00D70D8D"/>
    <w:rsid w:val="00D72BFE"/>
    <w:rsid w:val="00D80974"/>
    <w:rsid w:val="00D80A63"/>
    <w:rsid w:val="00D82C7E"/>
    <w:rsid w:val="00D8340E"/>
    <w:rsid w:val="00D85EAF"/>
    <w:rsid w:val="00D90B3E"/>
    <w:rsid w:val="00D92142"/>
    <w:rsid w:val="00D942D3"/>
    <w:rsid w:val="00D95974"/>
    <w:rsid w:val="00D965E4"/>
    <w:rsid w:val="00DA2DD7"/>
    <w:rsid w:val="00DA33AD"/>
    <w:rsid w:val="00DA3BD5"/>
    <w:rsid w:val="00DA55C4"/>
    <w:rsid w:val="00DB32F8"/>
    <w:rsid w:val="00DB44D3"/>
    <w:rsid w:val="00DB6FE5"/>
    <w:rsid w:val="00DC553F"/>
    <w:rsid w:val="00DC7829"/>
    <w:rsid w:val="00DC7CD7"/>
    <w:rsid w:val="00DE311A"/>
    <w:rsid w:val="00DE5BCA"/>
    <w:rsid w:val="00DE7463"/>
    <w:rsid w:val="00E040CA"/>
    <w:rsid w:val="00E17EAC"/>
    <w:rsid w:val="00E20E5A"/>
    <w:rsid w:val="00E36FF0"/>
    <w:rsid w:val="00E419B3"/>
    <w:rsid w:val="00E41F5C"/>
    <w:rsid w:val="00E516D0"/>
    <w:rsid w:val="00E517BD"/>
    <w:rsid w:val="00E55ABF"/>
    <w:rsid w:val="00E60541"/>
    <w:rsid w:val="00E61BCF"/>
    <w:rsid w:val="00E65837"/>
    <w:rsid w:val="00E673E5"/>
    <w:rsid w:val="00E702D1"/>
    <w:rsid w:val="00E70B8D"/>
    <w:rsid w:val="00E71BE6"/>
    <w:rsid w:val="00E7354F"/>
    <w:rsid w:val="00E7624D"/>
    <w:rsid w:val="00E76EAD"/>
    <w:rsid w:val="00E77144"/>
    <w:rsid w:val="00EA2703"/>
    <w:rsid w:val="00EA2DC0"/>
    <w:rsid w:val="00EB1AC2"/>
    <w:rsid w:val="00EC5A30"/>
    <w:rsid w:val="00ED0A53"/>
    <w:rsid w:val="00ED0DCA"/>
    <w:rsid w:val="00ED1674"/>
    <w:rsid w:val="00ED4803"/>
    <w:rsid w:val="00ED6103"/>
    <w:rsid w:val="00EE2B7A"/>
    <w:rsid w:val="00EF00B0"/>
    <w:rsid w:val="00EF7278"/>
    <w:rsid w:val="00F04913"/>
    <w:rsid w:val="00F108DF"/>
    <w:rsid w:val="00F1112E"/>
    <w:rsid w:val="00F20EF0"/>
    <w:rsid w:val="00F22986"/>
    <w:rsid w:val="00F24AD5"/>
    <w:rsid w:val="00F25891"/>
    <w:rsid w:val="00F3094D"/>
    <w:rsid w:val="00F30B7D"/>
    <w:rsid w:val="00F34853"/>
    <w:rsid w:val="00F41537"/>
    <w:rsid w:val="00F510EB"/>
    <w:rsid w:val="00F53C92"/>
    <w:rsid w:val="00F643D5"/>
    <w:rsid w:val="00F7161F"/>
    <w:rsid w:val="00F72E80"/>
    <w:rsid w:val="00F81AA8"/>
    <w:rsid w:val="00F8243C"/>
    <w:rsid w:val="00F85141"/>
    <w:rsid w:val="00F941C3"/>
    <w:rsid w:val="00FA2E00"/>
    <w:rsid w:val="00FC0BAC"/>
    <w:rsid w:val="00FD000B"/>
    <w:rsid w:val="00FD3223"/>
    <w:rsid w:val="00FE3BD9"/>
    <w:rsid w:val="00FF6A81"/>
    <w:rsid w:val="029323A3"/>
    <w:rsid w:val="032E12AA"/>
    <w:rsid w:val="039310B9"/>
    <w:rsid w:val="064A9439"/>
    <w:rsid w:val="067EDBC9"/>
    <w:rsid w:val="06F24E49"/>
    <w:rsid w:val="0756000B"/>
    <w:rsid w:val="075F9D7D"/>
    <w:rsid w:val="07FFA818"/>
    <w:rsid w:val="080183CD"/>
    <w:rsid w:val="083C23A0"/>
    <w:rsid w:val="086B58E2"/>
    <w:rsid w:val="08A579AD"/>
    <w:rsid w:val="092E7C1D"/>
    <w:rsid w:val="098234FB"/>
    <w:rsid w:val="09B67C8B"/>
    <w:rsid w:val="09F5258B"/>
    <w:rsid w:val="0A508B3F"/>
    <w:rsid w:val="0B27C991"/>
    <w:rsid w:val="0B524E7E"/>
    <w:rsid w:val="0B6DCAF0"/>
    <w:rsid w:val="0BABFB20"/>
    <w:rsid w:val="0BB869BD"/>
    <w:rsid w:val="0BEA263A"/>
    <w:rsid w:val="0C5E8D62"/>
    <w:rsid w:val="0CDB4787"/>
    <w:rsid w:val="0DEEC4F9"/>
    <w:rsid w:val="0E55A61E"/>
    <w:rsid w:val="0F807E2D"/>
    <w:rsid w:val="102DC6A1"/>
    <w:rsid w:val="12471FA0"/>
    <w:rsid w:val="12C2361C"/>
    <w:rsid w:val="136819E3"/>
    <w:rsid w:val="13EF4D62"/>
    <w:rsid w:val="1439FBAF"/>
    <w:rsid w:val="147C7078"/>
    <w:rsid w:val="151CDF5E"/>
    <w:rsid w:val="154C8AC6"/>
    <w:rsid w:val="15D3B5C7"/>
    <w:rsid w:val="16478FA6"/>
    <w:rsid w:val="16530EF6"/>
    <w:rsid w:val="1767BDA5"/>
    <w:rsid w:val="187320A5"/>
    <w:rsid w:val="18C7577E"/>
    <w:rsid w:val="1AFFC889"/>
    <w:rsid w:val="1BD279AF"/>
    <w:rsid w:val="1D026600"/>
    <w:rsid w:val="1E37E5FC"/>
    <w:rsid w:val="1F001173"/>
    <w:rsid w:val="1FC920B0"/>
    <w:rsid w:val="1FDF39A5"/>
    <w:rsid w:val="22D3DD80"/>
    <w:rsid w:val="2339F67D"/>
    <w:rsid w:val="235F7AC0"/>
    <w:rsid w:val="23756564"/>
    <w:rsid w:val="23AF8A74"/>
    <w:rsid w:val="246FADE1"/>
    <w:rsid w:val="24CA803D"/>
    <w:rsid w:val="25E8761B"/>
    <w:rsid w:val="261B682B"/>
    <w:rsid w:val="26F160A8"/>
    <w:rsid w:val="2712EB9C"/>
    <w:rsid w:val="2764596A"/>
    <w:rsid w:val="28017157"/>
    <w:rsid w:val="285D7098"/>
    <w:rsid w:val="297FACBC"/>
    <w:rsid w:val="2A223600"/>
    <w:rsid w:val="2A696296"/>
    <w:rsid w:val="2B360E06"/>
    <w:rsid w:val="2C865D91"/>
    <w:rsid w:val="2D5E1130"/>
    <w:rsid w:val="2F1D6878"/>
    <w:rsid w:val="320636A7"/>
    <w:rsid w:val="3273C842"/>
    <w:rsid w:val="332142DB"/>
    <w:rsid w:val="3331CD92"/>
    <w:rsid w:val="33B445DD"/>
    <w:rsid w:val="33FACF92"/>
    <w:rsid w:val="3459670E"/>
    <w:rsid w:val="34784719"/>
    <w:rsid w:val="347F2A6C"/>
    <w:rsid w:val="350A9401"/>
    <w:rsid w:val="35AE3001"/>
    <w:rsid w:val="36367C15"/>
    <w:rsid w:val="365BE095"/>
    <w:rsid w:val="368AA14A"/>
    <w:rsid w:val="37E498D2"/>
    <w:rsid w:val="386452FD"/>
    <w:rsid w:val="38C76CF2"/>
    <w:rsid w:val="39267747"/>
    <w:rsid w:val="3969FE69"/>
    <w:rsid w:val="3A5EA4B6"/>
    <w:rsid w:val="3A8E9D15"/>
    <w:rsid w:val="3AC43C8D"/>
    <w:rsid w:val="3AE0AE0A"/>
    <w:rsid w:val="3B21BEEB"/>
    <w:rsid w:val="3B2302A8"/>
    <w:rsid w:val="3BFA7517"/>
    <w:rsid w:val="3CC720FD"/>
    <w:rsid w:val="3D76F984"/>
    <w:rsid w:val="3DC5A0DA"/>
    <w:rsid w:val="3DE9EC8A"/>
    <w:rsid w:val="3DF9E86A"/>
    <w:rsid w:val="3EB39E3B"/>
    <w:rsid w:val="4095B8D2"/>
    <w:rsid w:val="426B04D5"/>
    <w:rsid w:val="428E2A99"/>
    <w:rsid w:val="42B43130"/>
    <w:rsid w:val="42B7D4AE"/>
    <w:rsid w:val="43D8807A"/>
    <w:rsid w:val="43EE94E8"/>
    <w:rsid w:val="44594747"/>
    <w:rsid w:val="449F272A"/>
    <w:rsid w:val="451B53B5"/>
    <w:rsid w:val="4565D9FC"/>
    <w:rsid w:val="4842C65D"/>
    <w:rsid w:val="48604613"/>
    <w:rsid w:val="4985C9C7"/>
    <w:rsid w:val="499EDBC8"/>
    <w:rsid w:val="49DEAF25"/>
    <w:rsid w:val="4AB16C45"/>
    <w:rsid w:val="4AFD7B97"/>
    <w:rsid w:val="4BBCF9A3"/>
    <w:rsid w:val="4C188667"/>
    <w:rsid w:val="4C5B1376"/>
    <w:rsid w:val="4D0B5C2D"/>
    <w:rsid w:val="4D3289A9"/>
    <w:rsid w:val="4DA153D4"/>
    <w:rsid w:val="4DB456C8"/>
    <w:rsid w:val="4F7BB5D4"/>
    <w:rsid w:val="504D45E9"/>
    <w:rsid w:val="50CD8431"/>
    <w:rsid w:val="527A18E9"/>
    <w:rsid w:val="530BB385"/>
    <w:rsid w:val="53314517"/>
    <w:rsid w:val="533F9641"/>
    <w:rsid w:val="5369A549"/>
    <w:rsid w:val="53E91669"/>
    <w:rsid w:val="5447E3FC"/>
    <w:rsid w:val="5453349D"/>
    <w:rsid w:val="55074D3F"/>
    <w:rsid w:val="551A09EE"/>
    <w:rsid w:val="5549EC6E"/>
    <w:rsid w:val="55CEDA42"/>
    <w:rsid w:val="55D78B46"/>
    <w:rsid w:val="55FC26AD"/>
    <w:rsid w:val="567634C9"/>
    <w:rsid w:val="56840685"/>
    <w:rsid w:val="56B7EC5A"/>
    <w:rsid w:val="56DC9052"/>
    <w:rsid w:val="57466567"/>
    <w:rsid w:val="57473C39"/>
    <w:rsid w:val="575C37F8"/>
    <w:rsid w:val="57B4DC91"/>
    <w:rsid w:val="58C5647A"/>
    <w:rsid w:val="591CDFBC"/>
    <w:rsid w:val="59844450"/>
    <w:rsid w:val="59F46BE6"/>
    <w:rsid w:val="5C11B4F2"/>
    <w:rsid w:val="5C7924C6"/>
    <w:rsid w:val="5CBFBA51"/>
    <w:rsid w:val="5D059C48"/>
    <w:rsid w:val="5D3E9C3A"/>
    <w:rsid w:val="60A75607"/>
    <w:rsid w:val="61C7D562"/>
    <w:rsid w:val="64AEBB98"/>
    <w:rsid w:val="64BB492F"/>
    <w:rsid w:val="65A25540"/>
    <w:rsid w:val="65DC7CE3"/>
    <w:rsid w:val="66A6856A"/>
    <w:rsid w:val="66AE7807"/>
    <w:rsid w:val="66C9EBDC"/>
    <w:rsid w:val="6716978B"/>
    <w:rsid w:val="6A8252C8"/>
    <w:rsid w:val="6B1D338D"/>
    <w:rsid w:val="6B3C9897"/>
    <w:rsid w:val="6B4584BC"/>
    <w:rsid w:val="6C153FC8"/>
    <w:rsid w:val="6C9EC8FF"/>
    <w:rsid w:val="6CA2C3A6"/>
    <w:rsid w:val="6D69E326"/>
    <w:rsid w:val="6D84E123"/>
    <w:rsid w:val="6E2EB393"/>
    <w:rsid w:val="6E59C8F5"/>
    <w:rsid w:val="6EDE9F99"/>
    <w:rsid w:val="70E2141D"/>
    <w:rsid w:val="7112A55E"/>
    <w:rsid w:val="73976EE1"/>
    <w:rsid w:val="73D924AA"/>
    <w:rsid w:val="7584893B"/>
    <w:rsid w:val="759A854E"/>
    <w:rsid w:val="76108E67"/>
    <w:rsid w:val="767EA6BA"/>
    <w:rsid w:val="76AD227A"/>
    <w:rsid w:val="76F5A639"/>
    <w:rsid w:val="786DDE5F"/>
    <w:rsid w:val="789A049A"/>
    <w:rsid w:val="7B3EF6AD"/>
    <w:rsid w:val="7C011BB2"/>
    <w:rsid w:val="7C56D639"/>
    <w:rsid w:val="7C6BA6A9"/>
    <w:rsid w:val="7DEC29A1"/>
    <w:rsid w:val="7E309840"/>
    <w:rsid w:val="7E3BFFCD"/>
    <w:rsid w:val="7EB7514F"/>
    <w:rsid w:val="7EF30F11"/>
    <w:rsid w:val="7F7E4FA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E89F1"/>
  <w15:chartTrackingRefBased/>
  <w15:docId w15:val="{D9715E7A-4347-458F-9A07-7AF72B3B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F14"/>
    <w:pPr>
      <w:spacing w:before="120" w:after="120"/>
    </w:pPr>
    <w:rPr>
      <w:rFonts w:ascii="Arial" w:eastAsiaTheme="minorEastAsia" w:hAnsi="Arial"/>
      <w:sz w:val="24"/>
      <w:szCs w:val="24"/>
    </w:rPr>
  </w:style>
  <w:style w:type="paragraph" w:styleId="Heading1">
    <w:name w:val="heading 1"/>
    <w:basedOn w:val="Heading2"/>
    <w:link w:val="Heading1Char"/>
    <w:uiPriority w:val="9"/>
    <w:qFormat/>
    <w:rsid w:val="00D57FF1"/>
    <w:pPr>
      <w:spacing w:before="360" w:after="240"/>
      <w:outlineLvl w:val="0"/>
    </w:pPr>
    <w:rPr>
      <w:rFonts w:eastAsia="Times New Roman"/>
      <w:kern w:val="36"/>
      <w:sz w:val="36"/>
      <w:szCs w:val="48"/>
    </w:rPr>
  </w:style>
  <w:style w:type="paragraph" w:styleId="Heading2">
    <w:name w:val="heading 2"/>
    <w:basedOn w:val="Normal"/>
    <w:link w:val="Heading2Char"/>
    <w:uiPriority w:val="9"/>
    <w:qFormat/>
    <w:rsid w:val="008E516A"/>
    <w:pPr>
      <w:spacing w:before="240"/>
      <w:outlineLvl w:val="1"/>
    </w:pPr>
    <w:rPr>
      <w:b/>
      <w:bCs/>
      <w:color w:val="2F5496" w:themeColor="accent1" w:themeShade="BF"/>
      <w:sz w:val="32"/>
      <w:szCs w:val="36"/>
    </w:rPr>
  </w:style>
  <w:style w:type="paragraph" w:styleId="Heading3">
    <w:name w:val="heading 3"/>
    <w:basedOn w:val="Normal"/>
    <w:next w:val="Normal"/>
    <w:link w:val="Heading3Char"/>
    <w:uiPriority w:val="9"/>
    <w:unhideWhenUsed/>
    <w:qFormat/>
    <w:rsid w:val="00207E78"/>
    <w:pPr>
      <w:spacing w:before="240"/>
      <w:outlineLvl w:val="2"/>
    </w:pPr>
    <w:rPr>
      <w:rFonts w:eastAsiaTheme="majorEastAsia" w:cstheme="majorBidi"/>
      <w:color w:val="2F5496" w:themeColor="accent1" w:themeShade="BF"/>
      <w:spacing w:val="-10"/>
      <w:kern w:val="28"/>
      <w:sz w:val="28"/>
      <w:szCs w:val="28"/>
    </w:rPr>
  </w:style>
  <w:style w:type="paragraph" w:styleId="Heading4">
    <w:name w:val="heading 4"/>
    <w:basedOn w:val="Heading3"/>
    <w:next w:val="Normal"/>
    <w:link w:val="Heading4Char"/>
    <w:uiPriority w:val="9"/>
    <w:unhideWhenUsed/>
    <w:qFormat/>
    <w:rsid w:val="003A188D"/>
    <w:pPr>
      <w:spacing w:before="360"/>
      <w:outlineLvl w:val="3"/>
    </w:pPr>
    <w:rPr>
      <w:sz w:val="3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customStyle="1" w:styleId="Heading1Char">
    <w:name w:val="Heading 1 Char"/>
    <w:basedOn w:val="DefaultParagraphFont"/>
    <w:link w:val="Heading1"/>
    <w:uiPriority w:val="9"/>
    <w:rsid w:val="00D57FF1"/>
    <w:rPr>
      <w:rFonts w:ascii="Arial" w:hAnsi="Arial"/>
      <w:b/>
      <w:bCs/>
      <w:color w:val="2F5496" w:themeColor="accent1" w:themeShade="BF"/>
      <w:kern w:val="36"/>
      <w:sz w:val="36"/>
      <w:szCs w:val="48"/>
    </w:rPr>
  </w:style>
  <w:style w:type="character" w:styleId="Strong">
    <w:name w:val="Strong"/>
    <w:basedOn w:val="DefaultParagraphFont"/>
    <w:uiPriority w:val="22"/>
    <w:qFormat/>
    <w:rsid w:val="00854B75"/>
    <w:rPr>
      <w:b/>
      <w:bCs/>
    </w:rPr>
  </w:style>
  <w:style w:type="character" w:customStyle="1" w:styleId="Heading2Char">
    <w:name w:val="Heading 2 Char"/>
    <w:basedOn w:val="DefaultParagraphFont"/>
    <w:link w:val="Heading2"/>
    <w:uiPriority w:val="9"/>
    <w:rsid w:val="008E516A"/>
    <w:rPr>
      <w:rFonts w:ascii="Arial" w:eastAsiaTheme="minorEastAsia" w:hAnsi="Arial"/>
      <w:b/>
      <w:bCs/>
      <w:color w:val="2F5496" w:themeColor="accent1" w:themeShade="BF"/>
      <w:sz w:val="32"/>
      <w:szCs w:val="36"/>
    </w:rPr>
  </w:style>
  <w:style w:type="character" w:styleId="Hyperlink">
    <w:name w:val="Hyperlink"/>
    <w:uiPriority w:val="99"/>
    <w:unhideWhenUsed/>
    <w:rsid w:val="00B22FC6"/>
    <w:rPr>
      <w:rFonts w:eastAsia="DengXian"/>
      <w:i/>
      <w:color w:val="0563C1"/>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38488B"/>
    <w:pPr>
      <w:tabs>
        <w:tab w:val="center" w:pos="4513"/>
        <w:tab w:val="right" w:pos="9026"/>
      </w:tabs>
    </w:pPr>
  </w:style>
  <w:style w:type="character" w:customStyle="1" w:styleId="HeaderChar">
    <w:name w:val="Header Char"/>
    <w:basedOn w:val="DefaultParagraphFont"/>
    <w:link w:val="Header"/>
    <w:uiPriority w:val="99"/>
    <w:rsid w:val="0038488B"/>
    <w:rPr>
      <w:rFonts w:eastAsiaTheme="minorEastAsia"/>
      <w:sz w:val="24"/>
      <w:szCs w:val="24"/>
    </w:rPr>
  </w:style>
  <w:style w:type="paragraph" w:styleId="Footer">
    <w:name w:val="footer"/>
    <w:basedOn w:val="Normal"/>
    <w:link w:val="FooterChar"/>
    <w:uiPriority w:val="99"/>
    <w:unhideWhenUsed/>
    <w:rsid w:val="0038488B"/>
    <w:pPr>
      <w:tabs>
        <w:tab w:val="center" w:pos="4513"/>
        <w:tab w:val="right" w:pos="9026"/>
      </w:tabs>
    </w:pPr>
  </w:style>
  <w:style w:type="character" w:customStyle="1" w:styleId="FooterChar">
    <w:name w:val="Footer Char"/>
    <w:basedOn w:val="DefaultParagraphFont"/>
    <w:link w:val="Footer"/>
    <w:uiPriority w:val="99"/>
    <w:rsid w:val="0038488B"/>
    <w:rPr>
      <w:rFonts w:eastAsiaTheme="minorEastAsia"/>
      <w:sz w:val="24"/>
      <w:szCs w:val="24"/>
    </w:rPr>
  </w:style>
  <w:style w:type="character" w:styleId="CommentReference">
    <w:name w:val="annotation reference"/>
    <w:basedOn w:val="DefaultParagraphFont"/>
    <w:uiPriority w:val="99"/>
    <w:semiHidden/>
    <w:unhideWhenUsed/>
    <w:rsid w:val="00205F5D"/>
    <w:rPr>
      <w:sz w:val="16"/>
      <w:szCs w:val="16"/>
    </w:rPr>
  </w:style>
  <w:style w:type="paragraph" w:styleId="CommentText">
    <w:name w:val="annotation text"/>
    <w:basedOn w:val="Normal"/>
    <w:link w:val="CommentTextChar"/>
    <w:uiPriority w:val="99"/>
    <w:unhideWhenUsed/>
    <w:rsid w:val="00205F5D"/>
    <w:rPr>
      <w:sz w:val="20"/>
      <w:szCs w:val="20"/>
    </w:rPr>
  </w:style>
  <w:style w:type="character" w:customStyle="1" w:styleId="CommentTextChar">
    <w:name w:val="Comment Text Char"/>
    <w:basedOn w:val="DefaultParagraphFont"/>
    <w:link w:val="CommentText"/>
    <w:uiPriority w:val="99"/>
    <w:rsid w:val="00205F5D"/>
    <w:rPr>
      <w:rFonts w:eastAsiaTheme="minorEastAsia"/>
    </w:rPr>
  </w:style>
  <w:style w:type="paragraph" w:styleId="CommentSubject">
    <w:name w:val="annotation subject"/>
    <w:basedOn w:val="CommentText"/>
    <w:next w:val="CommentText"/>
    <w:link w:val="CommentSubjectChar"/>
    <w:uiPriority w:val="99"/>
    <w:semiHidden/>
    <w:unhideWhenUsed/>
    <w:rsid w:val="00205F5D"/>
    <w:rPr>
      <w:b/>
      <w:bCs/>
    </w:rPr>
  </w:style>
  <w:style w:type="character" w:customStyle="1" w:styleId="CommentSubjectChar">
    <w:name w:val="Comment Subject Char"/>
    <w:basedOn w:val="CommentTextChar"/>
    <w:link w:val="CommentSubject"/>
    <w:uiPriority w:val="99"/>
    <w:semiHidden/>
    <w:rsid w:val="00205F5D"/>
    <w:rPr>
      <w:rFonts w:eastAsiaTheme="minorEastAsia"/>
      <w:b/>
      <w:bCs/>
    </w:rPr>
  </w:style>
  <w:style w:type="character" w:styleId="UnresolvedMention">
    <w:name w:val="Unresolved Mention"/>
    <w:basedOn w:val="DefaultParagraphFont"/>
    <w:uiPriority w:val="99"/>
    <w:semiHidden/>
    <w:unhideWhenUsed/>
    <w:rsid w:val="006E724F"/>
    <w:rPr>
      <w:color w:val="605E5C"/>
      <w:shd w:val="clear" w:color="auto" w:fill="E1DFDD"/>
    </w:rPr>
  </w:style>
  <w:style w:type="paragraph" w:styleId="Revision">
    <w:name w:val="Revision"/>
    <w:hidden/>
    <w:uiPriority w:val="99"/>
    <w:semiHidden/>
    <w:rsid w:val="0055128F"/>
    <w:rPr>
      <w:rFonts w:eastAsiaTheme="minorEastAsia"/>
      <w:sz w:val="24"/>
      <w:szCs w:val="24"/>
    </w:rPr>
  </w:style>
  <w:style w:type="character" w:customStyle="1" w:styleId="Heading3Char">
    <w:name w:val="Heading 3 Char"/>
    <w:basedOn w:val="DefaultParagraphFont"/>
    <w:link w:val="Heading3"/>
    <w:uiPriority w:val="9"/>
    <w:rsid w:val="00207E78"/>
    <w:rPr>
      <w:rFonts w:ascii="Arial" w:eastAsiaTheme="majorEastAsia" w:hAnsi="Arial" w:cstheme="majorBidi"/>
      <w:color w:val="2F5496" w:themeColor="accent1" w:themeShade="BF"/>
      <w:spacing w:val="-10"/>
      <w:kern w:val="28"/>
      <w:sz w:val="28"/>
      <w:szCs w:val="28"/>
    </w:rPr>
  </w:style>
  <w:style w:type="character" w:customStyle="1" w:styleId="Heading4Char">
    <w:name w:val="Heading 4 Char"/>
    <w:basedOn w:val="DefaultParagraphFont"/>
    <w:link w:val="Heading4"/>
    <w:uiPriority w:val="9"/>
    <w:rsid w:val="003A188D"/>
    <w:rPr>
      <w:rFonts w:ascii="Arial" w:eastAsiaTheme="majorEastAsia" w:hAnsi="Arial" w:cstheme="majorBidi"/>
      <w:color w:val="2F5496" w:themeColor="accent1" w:themeShade="BF"/>
      <w:spacing w:val="-10"/>
      <w:kern w:val="28"/>
      <w:sz w:val="36"/>
      <w:szCs w:val="56"/>
    </w:rPr>
  </w:style>
  <w:style w:type="paragraph" w:styleId="FootnoteText">
    <w:name w:val="footnote text"/>
    <w:basedOn w:val="Normal"/>
    <w:link w:val="FootnoteTextChar"/>
    <w:uiPriority w:val="99"/>
    <w:unhideWhenUsed/>
    <w:rsid w:val="00426499"/>
    <w:rPr>
      <w:sz w:val="20"/>
      <w:szCs w:val="20"/>
    </w:rPr>
  </w:style>
  <w:style w:type="character" w:customStyle="1" w:styleId="FootnoteTextChar">
    <w:name w:val="Footnote Text Char"/>
    <w:basedOn w:val="DefaultParagraphFont"/>
    <w:link w:val="FootnoteText"/>
    <w:uiPriority w:val="99"/>
    <w:rsid w:val="00426499"/>
    <w:rPr>
      <w:rFonts w:eastAsiaTheme="minorEastAsia"/>
    </w:rPr>
  </w:style>
  <w:style w:type="character" w:styleId="FootnoteReference">
    <w:name w:val="footnote reference"/>
    <w:basedOn w:val="DefaultParagraphFont"/>
    <w:uiPriority w:val="99"/>
    <w:semiHidden/>
    <w:unhideWhenUsed/>
    <w:rsid w:val="00426499"/>
    <w:rPr>
      <w:vertAlign w:val="superscript"/>
    </w:rPr>
  </w:style>
  <w:style w:type="paragraph" w:styleId="TOCHeading">
    <w:name w:val="TOC Heading"/>
    <w:basedOn w:val="Heading1"/>
    <w:next w:val="Normal"/>
    <w:uiPriority w:val="39"/>
    <w:unhideWhenUsed/>
    <w:qFormat/>
    <w:rsid w:val="00854B75"/>
    <w:pPr>
      <w:keepNext/>
      <w:keepLines/>
      <w:spacing w:after="0" w:line="259" w:lineRule="auto"/>
      <w:outlineLvl w:val="9"/>
    </w:pPr>
    <w:rPr>
      <w:rFonts w:asciiTheme="majorHAnsi" w:eastAsiaTheme="majorEastAsia" w:hAnsiTheme="majorHAnsi" w:cstheme="majorBidi"/>
      <w:b w:val="0"/>
      <w:bCs w:val="0"/>
      <w:kern w:val="0"/>
      <w:sz w:val="32"/>
      <w:szCs w:val="32"/>
      <w:lang w:val="en-US"/>
    </w:rPr>
  </w:style>
  <w:style w:type="paragraph" w:styleId="TOC1">
    <w:name w:val="toc 1"/>
    <w:basedOn w:val="Normal"/>
    <w:next w:val="Normal"/>
    <w:autoRedefine/>
    <w:uiPriority w:val="39"/>
    <w:unhideWhenUsed/>
    <w:rsid w:val="00BA6DEA"/>
    <w:pPr>
      <w:tabs>
        <w:tab w:val="right" w:leader="dot" w:pos="9016"/>
      </w:tabs>
      <w:spacing w:after="100"/>
    </w:pPr>
  </w:style>
  <w:style w:type="paragraph" w:styleId="TOC2">
    <w:name w:val="toc 2"/>
    <w:basedOn w:val="Normal"/>
    <w:next w:val="Normal"/>
    <w:autoRedefine/>
    <w:uiPriority w:val="39"/>
    <w:unhideWhenUsed/>
    <w:rsid w:val="003F0616"/>
    <w:pPr>
      <w:spacing w:after="100"/>
      <w:ind w:left="240"/>
    </w:pPr>
  </w:style>
  <w:style w:type="paragraph" w:styleId="TOC3">
    <w:name w:val="toc 3"/>
    <w:basedOn w:val="Normal"/>
    <w:next w:val="Normal"/>
    <w:autoRedefine/>
    <w:uiPriority w:val="39"/>
    <w:unhideWhenUsed/>
    <w:rsid w:val="003F0616"/>
    <w:pPr>
      <w:spacing w:after="100"/>
      <w:ind w:left="480"/>
    </w:pPr>
  </w:style>
  <w:style w:type="paragraph" w:styleId="Title">
    <w:name w:val="Title"/>
    <w:basedOn w:val="Heading1"/>
    <w:next w:val="Normal"/>
    <w:link w:val="TitleChar"/>
    <w:uiPriority w:val="10"/>
    <w:qFormat/>
    <w:rsid w:val="005B12EE"/>
    <w:pPr>
      <w:spacing w:before="120"/>
      <w:contextualSpacing/>
    </w:pPr>
    <w:rPr>
      <w:rFonts w:eastAsiaTheme="majorEastAsia" w:cstheme="majorBidi"/>
      <w:b w:val="0"/>
      <w:bCs w:val="0"/>
      <w:spacing w:val="-10"/>
      <w:kern w:val="28"/>
      <w:sz w:val="52"/>
      <w:szCs w:val="56"/>
    </w:rPr>
  </w:style>
  <w:style w:type="character" w:customStyle="1" w:styleId="TitleChar">
    <w:name w:val="Title Char"/>
    <w:basedOn w:val="DefaultParagraphFont"/>
    <w:link w:val="Title"/>
    <w:uiPriority w:val="10"/>
    <w:rsid w:val="005B12EE"/>
    <w:rPr>
      <w:rFonts w:ascii="Arial" w:eastAsiaTheme="majorEastAsia" w:hAnsi="Arial" w:cstheme="majorBidi"/>
      <w:color w:val="2F5496" w:themeColor="accent1" w:themeShade="BF"/>
      <w:spacing w:val="-10"/>
      <w:kern w:val="28"/>
      <w:sz w:val="52"/>
      <w:szCs w:val="56"/>
    </w:rPr>
  </w:style>
  <w:style w:type="paragraph" w:customStyle="1" w:styleId="indent">
    <w:name w:val="indent"/>
    <w:basedOn w:val="NormalWeb"/>
    <w:qFormat/>
    <w:rsid w:val="00854B75"/>
    <w:pPr>
      <w:spacing w:before="120" w:beforeAutospacing="0"/>
      <w:ind w:left="720"/>
    </w:pPr>
    <w:rPr>
      <w:rFonts w:cs="Arial"/>
      <w:i/>
      <w:iCs/>
    </w:rPr>
  </w:style>
  <w:style w:type="paragraph" w:customStyle="1" w:styleId="bullettedlist">
    <w:name w:val="bulletted list"/>
    <w:basedOn w:val="Normal"/>
    <w:qFormat/>
    <w:rsid w:val="00854B75"/>
    <w:pPr>
      <w:numPr>
        <w:numId w:val="12"/>
      </w:numPr>
      <w:contextualSpacing/>
    </w:pPr>
    <w:rPr>
      <w:rFonts w:eastAsia="Times New Roman" w:cs="Arial"/>
    </w:rPr>
  </w:style>
  <w:style w:type="paragraph" w:customStyle="1" w:styleId="paragraph">
    <w:name w:val="paragraph"/>
    <w:basedOn w:val="Normal"/>
    <w:rsid w:val="0058454B"/>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58454B"/>
  </w:style>
  <w:style w:type="character" w:customStyle="1" w:styleId="eop">
    <w:name w:val="eop"/>
    <w:basedOn w:val="DefaultParagraphFont"/>
    <w:rsid w:val="0058454B"/>
  </w:style>
  <w:style w:type="character" w:customStyle="1" w:styleId="scxw209956729">
    <w:name w:val="scxw209956729"/>
    <w:basedOn w:val="DefaultParagraphFont"/>
    <w:rsid w:val="0058454B"/>
  </w:style>
  <w:style w:type="character" w:styleId="Emphasis">
    <w:name w:val="Emphasis"/>
    <w:basedOn w:val="DefaultParagraphFont"/>
    <w:uiPriority w:val="20"/>
    <w:qFormat/>
    <w:rsid w:val="00854B75"/>
    <w:rPr>
      <w:i/>
      <w:iCs/>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sid w:val="00270C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09910">
      <w:bodyDiv w:val="1"/>
      <w:marLeft w:val="0"/>
      <w:marRight w:val="0"/>
      <w:marTop w:val="0"/>
      <w:marBottom w:val="0"/>
      <w:divBdr>
        <w:top w:val="none" w:sz="0" w:space="0" w:color="auto"/>
        <w:left w:val="none" w:sz="0" w:space="0" w:color="auto"/>
        <w:bottom w:val="none" w:sz="0" w:space="0" w:color="auto"/>
        <w:right w:val="none" w:sz="0" w:space="0" w:color="auto"/>
      </w:divBdr>
    </w:div>
    <w:div w:id="240599540">
      <w:bodyDiv w:val="1"/>
      <w:marLeft w:val="0"/>
      <w:marRight w:val="0"/>
      <w:marTop w:val="0"/>
      <w:marBottom w:val="0"/>
      <w:divBdr>
        <w:top w:val="none" w:sz="0" w:space="0" w:color="auto"/>
        <w:left w:val="none" w:sz="0" w:space="0" w:color="auto"/>
        <w:bottom w:val="none" w:sz="0" w:space="0" w:color="auto"/>
        <w:right w:val="none" w:sz="0" w:space="0" w:color="auto"/>
      </w:divBdr>
    </w:div>
    <w:div w:id="278342605">
      <w:bodyDiv w:val="1"/>
      <w:marLeft w:val="0"/>
      <w:marRight w:val="0"/>
      <w:marTop w:val="0"/>
      <w:marBottom w:val="0"/>
      <w:divBdr>
        <w:top w:val="none" w:sz="0" w:space="0" w:color="auto"/>
        <w:left w:val="none" w:sz="0" w:space="0" w:color="auto"/>
        <w:bottom w:val="none" w:sz="0" w:space="0" w:color="auto"/>
        <w:right w:val="none" w:sz="0" w:space="0" w:color="auto"/>
      </w:divBdr>
      <w:divsChild>
        <w:div w:id="133183556">
          <w:marLeft w:val="0"/>
          <w:marRight w:val="0"/>
          <w:marTop w:val="0"/>
          <w:marBottom w:val="0"/>
          <w:divBdr>
            <w:top w:val="none" w:sz="0" w:space="0" w:color="auto"/>
            <w:left w:val="none" w:sz="0" w:space="0" w:color="auto"/>
            <w:bottom w:val="none" w:sz="0" w:space="0" w:color="auto"/>
            <w:right w:val="none" w:sz="0" w:space="0" w:color="auto"/>
          </w:divBdr>
        </w:div>
        <w:div w:id="214857792">
          <w:marLeft w:val="0"/>
          <w:marRight w:val="0"/>
          <w:marTop w:val="0"/>
          <w:marBottom w:val="0"/>
          <w:divBdr>
            <w:top w:val="none" w:sz="0" w:space="0" w:color="auto"/>
            <w:left w:val="none" w:sz="0" w:space="0" w:color="auto"/>
            <w:bottom w:val="none" w:sz="0" w:space="0" w:color="auto"/>
            <w:right w:val="none" w:sz="0" w:space="0" w:color="auto"/>
          </w:divBdr>
        </w:div>
        <w:div w:id="422916697">
          <w:marLeft w:val="0"/>
          <w:marRight w:val="0"/>
          <w:marTop w:val="0"/>
          <w:marBottom w:val="0"/>
          <w:divBdr>
            <w:top w:val="none" w:sz="0" w:space="0" w:color="auto"/>
            <w:left w:val="none" w:sz="0" w:space="0" w:color="auto"/>
            <w:bottom w:val="none" w:sz="0" w:space="0" w:color="auto"/>
            <w:right w:val="none" w:sz="0" w:space="0" w:color="auto"/>
          </w:divBdr>
        </w:div>
        <w:div w:id="535193969">
          <w:marLeft w:val="0"/>
          <w:marRight w:val="0"/>
          <w:marTop w:val="0"/>
          <w:marBottom w:val="0"/>
          <w:divBdr>
            <w:top w:val="none" w:sz="0" w:space="0" w:color="auto"/>
            <w:left w:val="none" w:sz="0" w:space="0" w:color="auto"/>
            <w:bottom w:val="none" w:sz="0" w:space="0" w:color="auto"/>
            <w:right w:val="none" w:sz="0" w:space="0" w:color="auto"/>
          </w:divBdr>
        </w:div>
        <w:div w:id="865022256">
          <w:marLeft w:val="0"/>
          <w:marRight w:val="0"/>
          <w:marTop w:val="0"/>
          <w:marBottom w:val="0"/>
          <w:divBdr>
            <w:top w:val="none" w:sz="0" w:space="0" w:color="auto"/>
            <w:left w:val="none" w:sz="0" w:space="0" w:color="auto"/>
            <w:bottom w:val="none" w:sz="0" w:space="0" w:color="auto"/>
            <w:right w:val="none" w:sz="0" w:space="0" w:color="auto"/>
          </w:divBdr>
        </w:div>
        <w:div w:id="905143009">
          <w:marLeft w:val="0"/>
          <w:marRight w:val="0"/>
          <w:marTop w:val="0"/>
          <w:marBottom w:val="0"/>
          <w:divBdr>
            <w:top w:val="none" w:sz="0" w:space="0" w:color="auto"/>
            <w:left w:val="none" w:sz="0" w:space="0" w:color="auto"/>
            <w:bottom w:val="none" w:sz="0" w:space="0" w:color="auto"/>
            <w:right w:val="none" w:sz="0" w:space="0" w:color="auto"/>
          </w:divBdr>
        </w:div>
        <w:div w:id="931667452">
          <w:marLeft w:val="0"/>
          <w:marRight w:val="0"/>
          <w:marTop w:val="0"/>
          <w:marBottom w:val="0"/>
          <w:divBdr>
            <w:top w:val="none" w:sz="0" w:space="0" w:color="auto"/>
            <w:left w:val="none" w:sz="0" w:space="0" w:color="auto"/>
            <w:bottom w:val="none" w:sz="0" w:space="0" w:color="auto"/>
            <w:right w:val="none" w:sz="0" w:space="0" w:color="auto"/>
          </w:divBdr>
        </w:div>
        <w:div w:id="1051075001">
          <w:marLeft w:val="0"/>
          <w:marRight w:val="0"/>
          <w:marTop w:val="0"/>
          <w:marBottom w:val="0"/>
          <w:divBdr>
            <w:top w:val="none" w:sz="0" w:space="0" w:color="auto"/>
            <w:left w:val="none" w:sz="0" w:space="0" w:color="auto"/>
            <w:bottom w:val="none" w:sz="0" w:space="0" w:color="auto"/>
            <w:right w:val="none" w:sz="0" w:space="0" w:color="auto"/>
          </w:divBdr>
        </w:div>
        <w:div w:id="1111321486">
          <w:marLeft w:val="0"/>
          <w:marRight w:val="0"/>
          <w:marTop w:val="0"/>
          <w:marBottom w:val="0"/>
          <w:divBdr>
            <w:top w:val="none" w:sz="0" w:space="0" w:color="auto"/>
            <w:left w:val="none" w:sz="0" w:space="0" w:color="auto"/>
            <w:bottom w:val="none" w:sz="0" w:space="0" w:color="auto"/>
            <w:right w:val="none" w:sz="0" w:space="0" w:color="auto"/>
          </w:divBdr>
        </w:div>
        <w:div w:id="1118986250">
          <w:marLeft w:val="0"/>
          <w:marRight w:val="0"/>
          <w:marTop w:val="0"/>
          <w:marBottom w:val="0"/>
          <w:divBdr>
            <w:top w:val="none" w:sz="0" w:space="0" w:color="auto"/>
            <w:left w:val="none" w:sz="0" w:space="0" w:color="auto"/>
            <w:bottom w:val="none" w:sz="0" w:space="0" w:color="auto"/>
            <w:right w:val="none" w:sz="0" w:space="0" w:color="auto"/>
          </w:divBdr>
        </w:div>
        <w:div w:id="1165432953">
          <w:marLeft w:val="0"/>
          <w:marRight w:val="0"/>
          <w:marTop w:val="0"/>
          <w:marBottom w:val="0"/>
          <w:divBdr>
            <w:top w:val="none" w:sz="0" w:space="0" w:color="auto"/>
            <w:left w:val="none" w:sz="0" w:space="0" w:color="auto"/>
            <w:bottom w:val="none" w:sz="0" w:space="0" w:color="auto"/>
            <w:right w:val="none" w:sz="0" w:space="0" w:color="auto"/>
          </w:divBdr>
        </w:div>
        <w:div w:id="1322002999">
          <w:marLeft w:val="0"/>
          <w:marRight w:val="0"/>
          <w:marTop w:val="0"/>
          <w:marBottom w:val="0"/>
          <w:divBdr>
            <w:top w:val="none" w:sz="0" w:space="0" w:color="auto"/>
            <w:left w:val="none" w:sz="0" w:space="0" w:color="auto"/>
            <w:bottom w:val="none" w:sz="0" w:space="0" w:color="auto"/>
            <w:right w:val="none" w:sz="0" w:space="0" w:color="auto"/>
          </w:divBdr>
        </w:div>
        <w:div w:id="1426342952">
          <w:marLeft w:val="0"/>
          <w:marRight w:val="0"/>
          <w:marTop w:val="0"/>
          <w:marBottom w:val="0"/>
          <w:divBdr>
            <w:top w:val="none" w:sz="0" w:space="0" w:color="auto"/>
            <w:left w:val="none" w:sz="0" w:space="0" w:color="auto"/>
            <w:bottom w:val="none" w:sz="0" w:space="0" w:color="auto"/>
            <w:right w:val="none" w:sz="0" w:space="0" w:color="auto"/>
          </w:divBdr>
        </w:div>
        <w:div w:id="1533179947">
          <w:marLeft w:val="0"/>
          <w:marRight w:val="0"/>
          <w:marTop w:val="0"/>
          <w:marBottom w:val="0"/>
          <w:divBdr>
            <w:top w:val="none" w:sz="0" w:space="0" w:color="auto"/>
            <w:left w:val="none" w:sz="0" w:space="0" w:color="auto"/>
            <w:bottom w:val="none" w:sz="0" w:space="0" w:color="auto"/>
            <w:right w:val="none" w:sz="0" w:space="0" w:color="auto"/>
          </w:divBdr>
        </w:div>
        <w:div w:id="1640769034">
          <w:marLeft w:val="0"/>
          <w:marRight w:val="0"/>
          <w:marTop w:val="0"/>
          <w:marBottom w:val="0"/>
          <w:divBdr>
            <w:top w:val="none" w:sz="0" w:space="0" w:color="auto"/>
            <w:left w:val="none" w:sz="0" w:space="0" w:color="auto"/>
            <w:bottom w:val="none" w:sz="0" w:space="0" w:color="auto"/>
            <w:right w:val="none" w:sz="0" w:space="0" w:color="auto"/>
          </w:divBdr>
        </w:div>
        <w:div w:id="1659647543">
          <w:marLeft w:val="0"/>
          <w:marRight w:val="0"/>
          <w:marTop w:val="0"/>
          <w:marBottom w:val="0"/>
          <w:divBdr>
            <w:top w:val="none" w:sz="0" w:space="0" w:color="auto"/>
            <w:left w:val="none" w:sz="0" w:space="0" w:color="auto"/>
            <w:bottom w:val="none" w:sz="0" w:space="0" w:color="auto"/>
            <w:right w:val="none" w:sz="0" w:space="0" w:color="auto"/>
          </w:divBdr>
        </w:div>
        <w:div w:id="1696341657">
          <w:marLeft w:val="0"/>
          <w:marRight w:val="0"/>
          <w:marTop w:val="0"/>
          <w:marBottom w:val="0"/>
          <w:divBdr>
            <w:top w:val="none" w:sz="0" w:space="0" w:color="auto"/>
            <w:left w:val="none" w:sz="0" w:space="0" w:color="auto"/>
            <w:bottom w:val="none" w:sz="0" w:space="0" w:color="auto"/>
            <w:right w:val="none" w:sz="0" w:space="0" w:color="auto"/>
          </w:divBdr>
        </w:div>
        <w:div w:id="1701587550">
          <w:marLeft w:val="0"/>
          <w:marRight w:val="0"/>
          <w:marTop w:val="0"/>
          <w:marBottom w:val="0"/>
          <w:divBdr>
            <w:top w:val="none" w:sz="0" w:space="0" w:color="auto"/>
            <w:left w:val="none" w:sz="0" w:space="0" w:color="auto"/>
            <w:bottom w:val="none" w:sz="0" w:space="0" w:color="auto"/>
            <w:right w:val="none" w:sz="0" w:space="0" w:color="auto"/>
          </w:divBdr>
        </w:div>
        <w:div w:id="1752123609">
          <w:marLeft w:val="0"/>
          <w:marRight w:val="0"/>
          <w:marTop w:val="0"/>
          <w:marBottom w:val="0"/>
          <w:divBdr>
            <w:top w:val="none" w:sz="0" w:space="0" w:color="auto"/>
            <w:left w:val="none" w:sz="0" w:space="0" w:color="auto"/>
            <w:bottom w:val="none" w:sz="0" w:space="0" w:color="auto"/>
            <w:right w:val="none" w:sz="0" w:space="0" w:color="auto"/>
          </w:divBdr>
        </w:div>
        <w:div w:id="1761025172">
          <w:marLeft w:val="0"/>
          <w:marRight w:val="0"/>
          <w:marTop w:val="0"/>
          <w:marBottom w:val="0"/>
          <w:divBdr>
            <w:top w:val="none" w:sz="0" w:space="0" w:color="auto"/>
            <w:left w:val="none" w:sz="0" w:space="0" w:color="auto"/>
            <w:bottom w:val="none" w:sz="0" w:space="0" w:color="auto"/>
            <w:right w:val="none" w:sz="0" w:space="0" w:color="auto"/>
          </w:divBdr>
        </w:div>
        <w:div w:id="1846551615">
          <w:marLeft w:val="0"/>
          <w:marRight w:val="0"/>
          <w:marTop w:val="0"/>
          <w:marBottom w:val="0"/>
          <w:divBdr>
            <w:top w:val="none" w:sz="0" w:space="0" w:color="auto"/>
            <w:left w:val="none" w:sz="0" w:space="0" w:color="auto"/>
            <w:bottom w:val="none" w:sz="0" w:space="0" w:color="auto"/>
            <w:right w:val="none" w:sz="0" w:space="0" w:color="auto"/>
          </w:divBdr>
        </w:div>
        <w:div w:id="1910924614">
          <w:marLeft w:val="0"/>
          <w:marRight w:val="0"/>
          <w:marTop w:val="0"/>
          <w:marBottom w:val="0"/>
          <w:divBdr>
            <w:top w:val="none" w:sz="0" w:space="0" w:color="auto"/>
            <w:left w:val="none" w:sz="0" w:space="0" w:color="auto"/>
            <w:bottom w:val="none" w:sz="0" w:space="0" w:color="auto"/>
            <w:right w:val="none" w:sz="0" w:space="0" w:color="auto"/>
          </w:divBdr>
        </w:div>
      </w:divsChild>
    </w:div>
    <w:div w:id="3335812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gov.au/organisation/training-accreditation-council/training-accreditation-council-regulatory-framework" TargetMode="External"/><Relationship Id="rId18" Type="http://schemas.openxmlformats.org/officeDocument/2006/relationships/hyperlink" Target="https://www.education.gov.au/disability-standards-education-2005/2020-review-disability-standards-education-2005/final-report" TargetMode="External"/><Relationship Id="rId26" Type="http://schemas.openxmlformats.org/officeDocument/2006/relationships/hyperlink" Target="https://humanrights.gov.au/our-work/disability-rights/projects/education-and-disability" TargetMode="External"/><Relationship Id="rId39" Type="http://schemas.openxmlformats.org/officeDocument/2006/relationships/hyperlink" Target="https://disabilityawareness.com.au/courses/introduction-to-disability-awareness/" TargetMode="External"/><Relationship Id="rId21" Type="http://schemas.openxmlformats.org/officeDocument/2006/relationships/hyperlink" Target="https://www.adcet.edu.au/vet/supporting-resources" TargetMode="External"/><Relationship Id="rId34" Type="http://schemas.openxmlformats.org/officeDocument/2006/relationships/hyperlink" Target="https://www.education.gov.au/swd/resources/fact-sheet-3-parental-engagement" TargetMode="External"/><Relationship Id="rId42" Type="http://schemas.openxmlformats.org/officeDocument/2006/relationships/hyperlink" Target="https://disabilityawareness.com.au/courses/universal-design-for-learning-in-tertiary-education/" TargetMode="External"/><Relationship Id="rId47" Type="http://schemas.openxmlformats.org/officeDocument/2006/relationships/hyperlink" Target="https://www.adcet.edu.au/vet"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isabilityawareness.com.au/" TargetMode="External"/><Relationship Id="rId29" Type="http://schemas.openxmlformats.org/officeDocument/2006/relationships/hyperlink" Target="https://www.education.gov.au/disability-standards-education-2005" TargetMode="External"/><Relationship Id="rId11" Type="http://schemas.openxmlformats.org/officeDocument/2006/relationships/hyperlink" Target="https://www.legislation.gov.au/F2014L01377/latest/text" TargetMode="External"/><Relationship Id="rId24" Type="http://schemas.openxmlformats.org/officeDocument/2006/relationships/hyperlink" Target="https://www.w3.org/WAI/standards-guidelines/wcag/" TargetMode="External"/><Relationship Id="rId32" Type="http://schemas.openxmlformats.org/officeDocument/2006/relationships/hyperlink" Target="https://www.education.gov.au/swd/resources/fact-sheet-1-disability-discrimination-act-1992" TargetMode="External"/><Relationship Id="rId37" Type="http://schemas.openxmlformats.org/officeDocument/2006/relationships/hyperlink" Target="https://www.asqa.gov.au/resources/fact-sheets/providing-quality-training-and-assessment-services-to-students-with-disabilities" TargetMode="External"/><Relationship Id="rId40" Type="http://schemas.openxmlformats.org/officeDocument/2006/relationships/hyperlink" Target="https://disabilityawareness.com.au/elearning/post-sec-ed/" TargetMode="External"/><Relationship Id="rId45" Type="http://schemas.openxmlformats.org/officeDocument/2006/relationships/hyperlink" Target="https://www.adcet.edu.au/vet/disclaimer"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adcet.edu.au/vet/practice-guides" TargetMode="External"/><Relationship Id="rId31" Type="http://schemas.openxmlformats.org/officeDocument/2006/relationships/hyperlink" Target="https://www.wa.gov.au/organisation/training-accreditation-council/training-accreditation-council-regulatory-framework" TargetMode="External"/><Relationship Id="rId44" Type="http://schemas.openxmlformats.org/officeDocument/2006/relationships/hyperlink" Target="https://disabilityawareness.com.au/courses/program-2-vet-educators-supporting-students-with-disability/"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C2004A04426/latest/text" TargetMode="External"/><Relationship Id="rId22" Type="http://schemas.openxmlformats.org/officeDocument/2006/relationships/hyperlink" Target="https://www.adcet.edu.au/vet/supporting-resources" TargetMode="External"/><Relationship Id="rId27" Type="http://schemas.openxmlformats.org/officeDocument/2006/relationships/hyperlink" Target="https://www.legislation.gov.au/Details/F2005L00767" TargetMode="External"/><Relationship Id="rId30" Type="http://schemas.openxmlformats.org/officeDocument/2006/relationships/hyperlink" Target="https://www.vrqa.vic.gov.au/VET/Pages/default.aspx" TargetMode="External"/><Relationship Id="rId35" Type="http://schemas.openxmlformats.org/officeDocument/2006/relationships/hyperlink" Target="https://www.education.gov.au/swd/resources/fact-sheet-4-effective-consultation" TargetMode="External"/><Relationship Id="rId43" Type="http://schemas.openxmlformats.org/officeDocument/2006/relationships/hyperlink" Target="https://disabilityawareness.com.au/courses/program-1-vet-staff-supporting-students-with-disability/"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vrqa.vic.gov.au/VET/Pages/default.aspx" TargetMode="External"/><Relationship Id="rId17" Type="http://schemas.openxmlformats.org/officeDocument/2006/relationships/image" Target="media/image1.png"/><Relationship Id="rId25" Type="http://schemas.openxmlformats.org/officeDocument/2006/relationships/hyperlink" Target="https://humanrights.gov.au/our-work/disability-rights/dda-guide-whats-it-all-about" TargetMode="External"/><Relationship Id="rId33" Type="http://schemas.openxmlformats.org/officeDocument/2006/relationships/hyperlink" Target="https://www.education.gov.au/disability-standards-education-2005/resources/fact-sheet-2-disability-standards-education-2005" TargetMode="External"/><Relationship Id="rId38" Type="http://schemas.openxmlformats.org/officeDocument/2006/relationships/hyperlink" Target="https://www.adcet.edu.au/" TargetMode="External"/><Relationship Id="rId46" Type="http://schemas.openxmlformats.org/officeDocument/2006/relationships/hyperlink" Target="https://www.dewr.gov.au/" TargetMode="External"/><Relationship Id="rId20" Type="http://schemas.openxmlformats.org/officeDocument/2006/relationships/hyperlink" Target="https://www.adcet.edu.au/vet/practice-illustrations" TargetMode="External"/><Relationship Id="rId41" Type="http://schemas.openxmlformats.org/officeDocument/2006/relationships/hyperlink" Target="https://disabilityawareness.com.au/courses/online-guidelines-blind-or-vision-impaired/"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au/Details/F2005L00767" TargetMode="External"/><Relationship Id="rId23" Type="http://schemas.openxmlformats.org/officeDocument/2006/relationships/hyperlink" Target="https://www.adcet.edu.au/vet/templates-and-examples" TargetMode="External"/><Relationship Id="rId28" Type="http://schemas.openxmlformats.org/officeDocument/2006/relationships/hyperlink" Target="https://www.education.gov.au/swd/resources/disability-standards-education-2005-guidance-notes" TargetMode="External"/><Relationship Id="rId36" Type="http://schemas.openxmlformats.org/officeDocument/2006/relationships/hyperlink" Target="https://www.education.gov.au/disability-standards-education-2005/resources/fact-sheet-3-making-complaint-under-dda-and-dse" TargetMode="External"/><Relationship Id="rId4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ocial.desa.un.org/issues/disability/crpd/article-24-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66430-9FB8-4028-B760-AEC26E3BBEBF}">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customXml/itemProps2.xml><?xml version="1.0" encoding="utf-8"?>
<ds:datastoreItem xmlns:ds="http://schemas.openxmlformats.org/officeDocument/2006/customXml" ds:itemID="{48E277D6-37AF-4735-8717-FE44EBA44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781F5-C4C1-4E45-94EB-EE5F955481AE}">
  <ds:schemaRefs>
    <ds:schemaRef ds:uri="http://schemas.openxmlformats.org/officeDocument/2006/bibliography"/>
  </ds:schemaRefs>
</ds:datastoreItem>
</file>

<file path=customXml/itemProps4.xml><?xml version="1.0" encoding="utf-8"?>
<ds:datastoreItem xmlns:ds="http://schemas.openxmlformats.org/officeDocument/2006/customXml" ds:itemID="{2CB472C0-D958-4D8B-B32C-788FD2ACA3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12</Pages>
  <Words>2770</Words>
  <Characters>20729</Characters>
  <Application>Microsoft Office Word</Application>
  <DocSecurity>0</DocSecurity>
  <Lines>172</Lines>
  <Paragraphs>46</Paragraphs>
  <ScaleCrop>false</ScaleCrop>
  <HeadingPairs>
    <vt:vector size="2" baseType="variant">
      <vt:variant>
        <vt:lpstr>Title</vt:lpstr>
      </vt:variant>
      <vt:variant>
        <vt:i4>1</vt:i4>
      </vt:variant>
    </vt:vector>
  </HeadingPairs>
  <TitlesOfParts>
    <vt:vector size="1" baseType="lpstr">
      <vt:lpstr>Supporting Students with Disability in VET - Introductory Guide</vt:lpstr>
    </vt:vector>
  </TitlesOfParts>
  <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Students with Disability in VET - Introductory Guide</dc:title>
  <dc:subject/>
  <dc:creator>Nancy Knowling</dc:creator>
  <cp:keywords/>
  <dc:description/>
  <cp:lastModifiedBy>Kylie Geard</cp:lastModifiedBy>
  <cp:revision>175</cp:revision>
  <cp:lastPrinted>2023-01-24T03:15:00Z</cp:lastPrinted>
  <dcterms:created xsi:type="dcterms:W3CDTF">2023-06-08T03:43:00Z</dcterms:created>
  <dcterms:modified xsi:type="dcterms:W3CDTF">2024-08-05T05:21:00Z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SIP_Label_79d889eb-932f-4752-8739-64d25806ef64_Enabled">
    <vt:lpwstr>true</vt:lpwstr>
  </property>
  <property fmtid="{D5CDD505-2E9C-101B-9397-08002B2CF9AE}" pid="4" name="MSIP_Label_79d889eb-932f-4752-8739-64d25806ef64_SetDate">
    <vt:lpwstr>2022-09-05T08:00:43Z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4be728ea-2979-496e-97fd-e8868e679bda</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Order">
    <vt:r8>50600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