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67A5" w14:textId="77777777" w:rsidR="00633D04" w:rsidRPr="00D76C43" w:rsidRDefault="002A1208" w:rsidP="00316BA2">
      <w:pPr>
        <w:pStyle w:val="Heading1"/>
        <w:spacing w:before="0" w:line="240" w:lineRule="auto"/>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ADCET &amp; RMIT</w:t>
      </w:r>
      <w:r w:rsidR="007D4047">
        <w:rPr>
          <w:rFonts w:ascii="Times New Roman" w:hAnsi="Times New Roman" w:cs="Times New Roman"/>
          <w:color w:val="000000" w:themeColor="text1"/>
          <w:sz w:val="30"/>
          <w:szCs w:val="30"/>
        </w:rPr>
        <w:t xml:space="preserve"> – </w:t>
      </w:r>
      <w:r>
        <w:rPr>
          <w:rFonts w:ascii="Times New Roman" w:hAnsi="Times New Roman" w:cs="Times New Roman"/>
          <w:color w:val="000000" w:themeColor="text1"/>
          <w:sz w:val="30"/>
          <w:szCs w:val="30"/>
        </w:rPr>
        <w:t>UDL Symposium</w:t>
      </w:r>
    </w:p>
    <w:p w14:paraId="121BF4F8" w14:textId="77777777" w:rsidR="00007AE2" w:rsidRPr="00964826" w:rsidRDefault="002A1208" w:rsidP="00316BA2">
      <w:pPr>
        <w:pStyle w:val="Heading2"/>
        <w:spacing w:before="0"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Keynote</w:t>
      </w:r>
      <w:r w:rsidR="00F80E34">
        <w:rPr>
          <w:rFonts w:ascii="Times New Roman" w:hAnsi="Times New Roman" w:cs="Times New Roman"/>
          <w:color w:val="000000" w:themeColor="text1"/>
          <w:sz w:val="22"/>
          <w:szCs w:val="22"/>
        </w:rPr>
        <w:t xml:space="preserve"> </w:t>
      </w:r>
      <w:r w:rsidR="001E6134">
        <w:rPr>
          <w:rFonts w:ascii="Times New Roman" w:hAnsi="Times New Roman" w:cs="Times New Roman"/>
          <w:color w:val="000000" w:themeColor="text1"/>
          <w:sz w:val="22"/>
          <w:szCs w:val="22"/>
        </w:rPr>
        <w:t>De</w:t>
      </w:r>
      <w:r w:rsidR="003E5610">
        <w:rPr>
          <w:rFonts w:ascii="Times New Roman" w:hAnsi="Times New Roman" w:cs="Times New Roman"/>
          <w:color w:val="000000" w:themeColor="text1"/>
          <w:sz w:val="22"/>
          <w:szCs w:val="22"/>
        </w:rPr>
        <w:t>scription</w:t>
      </w:r>
      <w:r w:rsidR="00E553F2">
        <w:rPr>
          <w:rFonts w:ascii="Times New Roman" w:hAnsi="Times New Roman" w:cs="Times New Roman"/>
          <w:color w:val="000000" w:themeColor="text1"/>
          <w:sz w:val="22"/>
          <w:szCs w:val="22"/>
        </w:rPr>
        <w:t xml:space="preserve">: </w:t>
      </w:r>
      <w:r w:rsidR="003E5610">
        <w:rPr>
          <w:rFonts w:ascii="Times New Roman" w:hAnsi="Times New Roman" w:cs="Times New Roman"/>
          <w:color w:val="000000" w:themeColor="text1"/>
          <w:sz w:val="22"/>
          <w:szCs w:val="22"/>
        </w:rPr>
        <w:t>June 12</w:t>
      </w:r>
      <w:r>
        <w:rPr>
          <w:rFonts w:ascii="Times New Roman" w:hAnsi="Times New Roman" w:cs="Times New Roman"/>
          <w:color w:val="000000" w:themeColor="text1"/>
          <w:sz w:val="22"/>
          <w:szCs w:val="22"/>
        </w:rPr>
        <w:t>, 2024</w:t>
      </w:r>
    </w:p>
    <w:p w14:paraId="55918145" w14:textId="77777777" w:rsidR="00964BDC" w:rsidRPr="00964826" w:rsidRDefault="00964BDC" w:rsidP="00316BA2">
      <w:pPr>
        <w:spacing w:after="0" w:line="240" w:lineRule="auto"/>
        <w:rPr>
          <w:rFonts w:ascii="Times New Roman" w:hAnsi="Times New Roman" w:cs="Times New Roman"/>
          <w:color w:val="000000" w:themeColor="text1"/>
        </w:rPr>
      </w:pPr>
    </w:p>
    <w:p w14:paraId="4A19103A" w14:textId="77777777" w:rsidR="00237E91" w:rsidRPr="00964826" w:rsidRDefault="009A56CC" w:rsidP="00316BA2">
      <w:pPr>
        <w:spacing w:after="0" w:line="240" w:lineRule="auto"/>
        <w:rPr>
          <w:rFonts w:ascii="Times New Roman" w:hAnsi="Times New Roman" w:cs="Times New Roman"/>
          <w:color w:val="000000" w:themeColor="text1"/>
        </w:rPr>
      </w:pPr>
      <w:r w:rsidRPr="00534538">
        <w:rPr>
          <w:rStyle w:val="Heading3Char"/>
          <w:rFonts w:ascii="Times New Roman" w:hAnsi="Times New Roman" w:cs="Times New Roman"/>
          <w:color w:val="000000" w:themeColor="text1"/>
        </w:rPr>
        <w:t>Presenter:</w:t>
      </w:r>
      <w:r w:rsidR="00672630" w:rsidRPr="00534538">
        <w:rPr>
          <w:rFonts w:ascii="Times New Roman" w:hAnsi="Times New Roman" w:cs="Times New Roman"/>
          <w:color w:val="000000" w:themeColor="text1"/>
        </w:rPr>
        <w:t xml:space="preserve"> </w:t>
      </w:r>
      <w:r w:rsidRPr="00964826">
        <w:rPr>
          <w:rFonts w:ascii="Times New Roman" w:hAnsi="Times New Roman" w:cs="Times New Roman"/>
          <w:color w:val="000000" w:themeColor="text1"/>
        </w:rPr>
        <w:t>Thomas J. Tobin, PhD, MSLS, PMP, MOT</w:t>
      </w:r>
      <w:r w:rsidR="00C96DE8" w:rsidRPr="00964826">
        <w:rPr>
          <w:rFonts w:ascii="Times New Roman" w:hAnsi="Times New Roman" w:cs="Times New Roman"/>
          <w:color w:val="000000" w:themeColor="text1"/>
        </w:rPr>
        <w:t>, CPACC</w:t>
      </w:r>
    </w:p>
    <w:p w14:paraId="3E906AF2" w14:textId="77777777" w:rsidR="00534538" w:rsidRDefault="00534538" w:rsidP="00316BA2">
      <w:pPr>
        <w:spacing w:after="0" w:line="240" w:lineRule="auto"/>
        <w:rPr>
          <w:rStyle w:val="Heading2Char"/>
          <w:rFonts w:ascii="Times New Roman" w:hAnsi="Times New Roman" w:cs="Times New Roman"/>
          <w:b w:val="0"/>
          <w:bCs w:val="0"/>
          <w:color w:val="000000" w:themeColor="text1"/>
          <w:sz w:val="22"/>
          <w:szCs w:val="22"/>
        </w:rPr>
      </w:pPr>
    </w:p>
    <w:p w14:paraId="456392A4" w14:textId="6DBCB185" w:rsidR="00534538" w:rsidRPr="00964826" w:rsidRDefault="00FF6E79" w:rsidP="00316BA2">
      <w:pPr>
        <w:pStyle w:val="Heading3"/>
        <w:pBdr>
          <w:top w:val="single" w:sz="4" w:space="1" w:color="auto"/>
        </w:pBdr>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Title</w:t>
      </w:r>
      <w:r w:rsidR="00534538" w:rsidRPr="00964826">
        <w:rPr>
          <w:rFonts w:ascii="Times New Roman" w:hAnsi="Times New Roman" w:cs="Times New Roman"/>
          <w:color w:val="000000" w:themeColor="text1"/>
        </w:rPr>
        <w:t xml:space="preserve">: </w:t>
      </w:r>
      <w:r w:rsidRPr="00FF6E79">
        <w:rPr>
          <w:rFonts w:ascii="Times New Roman" w:hAnsi="Times New Roman" w:cs="Times New Roman"/>
          <w:b w:val="0"/>
          <w:bCs w:val="0"/>
          <w:color w:val="000000" w:themeColor="text1"/>
        </w:rPr>
        <w:t>Scaling Up with Universal Design for Learning . . . and How to Get Colleagues to Join You</w:t>
      </w:r>
      <w:r w:rsidR="00534538" w:rsidRPr="00D76C43">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 xml:space="preserve">up to </w:t>
      </w:r>
      <w:r w:rsidR="00D927C3">
        <w:rPr>
          <w:rFonts w:ascii="Times New Roman" w:hAnsi="Times New Roman" w:cs="Times New Roman"/>
          <w:b w:val="0"/>
          <w:bCs w:val="0"/>
          <w:color w:val="000000" w:themeColor="text1"/>
        </w:rPr>
        <w:t>6</w:t>
      </w:r>
      <w:r w:rsidR="00534538" w:rsidRPr="00D76C43">
        <w:rPr>
          <w:rFonts w:ascii="Times New Roman" w:hAnsi="Times New Roman" w:cs="Times New Roman"/>
          <w:b w:val="0"/>
          <w:bCs w:val="0"/>
          <w:color w:val="000000" w:themeColor="text1"/>
        </w:rPr>
        <w:t>0 minutes)</w:t>
      </w:r>
    </w:p>
    <w:p w14:paraId="17FD776B" w14:textId="77777777" w:rsidR="00534538" w:rsidRPr="00964826" w:rsidRDefault="00534538" w:rsidP="00316BA2">
      <w:pPr>
        <w:spacing w:after="0" w:line="240" w:lineRule="auto"/>
        <w:jc w:val="center"/>
        <w:rPr>
          <w:rFonts w:ascii="Times New Roman" w:hAnsi="Times New Roman" w:cs="Times New Roman"/>
          <w:color w:val="000000" w:themeColor="text1"/>
        </w:rPr>
      </w:pPr>
    </w:p>
    <w:p w14:paraId="71DB158A" w14:textId="77777777" w:rsidR="00813CF1" w:rsidRDefault="003D1E9A" w:rsidP="002100EC">
      <w:pPr>
        <w:spacing w:after="0" w:line="240" w:lineRule="auto"/>
        <w:rPr>
          <w:rStyle w:val="Heading4Char"/>
          <w:rFonts w:ascii="Times New Roman" w:hAnsi="Times New Roman" w:cs="Times New Roman"/>
          <w:i w:val="0"/>
          <w:iCs w:val="0"/>
          <w:color w:val="000000" w:themeColor="text1"/>
        </w:rPr>
      </w:pPr>
      <w:r>
        <w:rPr>
          <w:rStyle w:val="Heading4Char"/>
          <w:rFonts w:ascii="Times New Roman" w:hAnsi="Times New Roman" w:cs="Times New Roman"/>
          <w:i w:val="0"/>
          <w:iCs w:val="0"/>
          <w:color w:val="000000" w:themeColor="text1"/>
        </w:rPr>
        <w:t>Abstract</w:t>
      </w:r>
    </w:p>
    <w:p w14:paraId="7CD64EE2" w14:textId="77777777" w:rsidR="00813CF1" w:rsidRDefault="00813CF1" w:rsidP="002100EC">
      <w:pPr>
        <w:spacing w:after="0" w:line="240" w:lineRule="auto"/>
        <w:rPr>
          <w:rStyle w:val="Heading4Char"/>
          <w:rFonts w:ascii="Times New Roman" w:hAnsi="Times New Roman" w:cs="Times New Roman"/>
          <w:i w:val="0"/>
          <w:iCs w:val="0"/>
          <w:color w:val="000000" w:themeColor="text1"/>
        </w:rPr>
      </w:pPr>
    </w:p>
    <w:p w14:paraId="449D28C4" w14:textId="77777777" w:rsidR="00534538" w:rsidRDefault="00316BA2" w:rsidP="002100EC">
      <w:pPr>
        <w:spacing w:after="0" w:line="240" w:lineRule="auto"/>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 xml:space="preserve">To help make educational materials and practices inclusive and useful for all learners, this interactive </w:t>
      </w:r>
      <w:r w:rsidR="002A1208">
        <w:rPr>
          <w:rStyle w:val="Heading2Char"/>
          <w:rFonts w:ascii="Times New Roman" w:hAnsi="Times New Roman" w:cs="Times New Roman"/>
          <w:b w:val="0"/>
          <w:bCs w:val="0"/>
          <w:color w:val="000000" w:themeColor="text1"/>
          <w:sz w:val="22"/>
          <w:szCs w:val="22"/>
        </w:rPr>
        <w:t>session</w:t>
      </w:r>
      <w:r w:rsidRPr="00316BA2">
        <w:rPr>
          <w:rStyle w:val="Heading2Char"/>
          <w:rFonts w:ascii="Times New Roman" w:hAnsi="Times New Roman" w:cs="Times New Roman"/>
          <w:b w:val="0"/>
          <w:bCs w:val="0"/>
          <w:color w:val="000000" w:themeColor="text1"/>
          <w:sz w:val="22"/>
          <w:szCs w:val="22"/>
        </w:rPr>
        <w:t xml:space="preserve"> radically reflects on how instructors</w:t>
      </w:r>
      <w:r w:rsidR="002100EC">
        <w:rPr>
          <w:rStyle w:val="Heading2Char"/>
          <w:rFonts w:ascii="Times New Roman" w:hAnsi="Times New Roman" w:cs="Times New Roman"/>
          <w:b w:val="0"/>
          <w:bCs w:val="0"/>
          <w:color w:val="000000" w:themeColor="text1"/>
          <w:sz w:val="22"/>
          <w:szCs w:val="22"/>
        </w:rPr>
        <w:t xml:space="preserve"> and designers</w:t>
      </w:r>
      <w:r w:rsidRPr="00316BA2">
        <w:rPr>
          <w:rStyle w:val="Heading2Char"/>
          <w:rFonts w:ascii="Times New Roman" w:hAnsi="Times New Roman" w:cs="Times New Roman"/>
          <w:b w:val="0"/>
          <w:bCs w:val="0"/>
          <w:color w:val="000000" w:themeColor="text1"/>
          <w:sz w:val="22"/>
          <w:szCs w:val="22"/>
        </w:rPr>
        <w:t xml:space="preserve"> can adopt Universal Design for Learning (UDL) in order to create learning interactions that provide students with more time for study and practice in their busy days: broaden our focus beyond learners with disabilities and toward a larger ease-of-use/general-inclusion framework.</w:t>
      </w:r>
    </w:p>
    <w:p w14:paraId="5C31B9FF" w14:textId="77777777" w:rsid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p>
    <w:p w14:paraId="7AB960D2" w14:textId="77777777" w:rsidR="00FF6E79" w:rsidRDefault="00FF6E79" w:rsidP="00316BA2">
      <w:pPr>
        <w:spacing w:after="0" w:line="240" w:lineRule="auto"/>
        <w:rPr>
          <w:rStyle w:val="Heading2Char"/>
          <w:rFonts w:ascii="Times New Roman" w:hAnsi="Times New Roman" w:cs="Times New Roman"/>
          <w:b w:val="0"/>
          <w:bCs w:val="0"/>
          <w:color w:val="000000" w:themeColor="text1"/>
          <w:sz w:val="22"/>
          <w:szCs w:val="22"/>
        </w:rPr>
      </w:pPr>
      <w:r>
        <w:rPr>
          <w:rStyle w:val="Heading2Char"/>
          <w:rFonts w:ascii="Times New Roman" w:hAnsi="Times New Roman" w:cs="Times New Roman"/>
          <w:b w:val="0"/>
          <w:bCs w:val="0"/>
          <w:color w:val="000000" w:themeColor="text1"/>
          <w:sz w:val="22"/>
          <w:szCs w:val="22"/>
        </w:rPr>
        <w:t xml:space="preserve">Our </w:t>
      </w:r>
      <w:r w:rsidR="002A1208">
        <w:rPr>
          <w:rStyle w:val="Heading2Char"/>
          <w:rFonts w:ascii="Times New Roman" w:hAnsi="Times New Roman" w:cs="Times New Roman"/>
          <w:b w:val="0"/>
          <w:bCs w:val="0"/>
          <w:color w:val="000000" w:themeColor="text1"/>
          <w:sz w:val="22"/>
          <w:szCs w:val="22"/>
        </w:rPr>
        <w:t>session</w:t>
      </w:r>
      <w:r>
        <w:rPr>
          <w:rStyle w:val="Heading2Char"/>
          <w:rFonts w:ascii="Times New Roman" w:hAnsi="Times New Roman" w:cs="Times New Roman"/>
          <w:b w:val="0"/>
          <w:bCs w:val="0"/>
          <w:color w:val="000000" w:themeColor="text1"/>
          <w:sz w:val="22"/>
          <w:szCs w:val="22"/>
        </w:rPr>
        <w:t xml:space="preserve"> will contain three scaffolded elements: an overview of UDL, how to scale up UDL efforts beyond individual actions, and how to talk with colleagues in order to establish UDL communities of practice</w:t>
      </w:r>
      <w:r w:rsidR="002A1208">
        <w:rPr>
          <w:rStyle w:val="Heading2Char"/>
          <w:rFonts w:ascii="Times New Roman" w:hAnsi="Times New Roman" w:cs="Times New Roman"/>
          <w:b w:val="0"/>
          <w:bCs w:val="0"/>
          <w:color w:val="000000" w:themeColor="text1"/>
          <w:sz w:val="22"/>
          <w:szCs w:val="22"/>
        </w:rPr>
        <w:t xml:space="preserve"> in line with the recent focus of the </w:t>
      </w:r>
      <w:r w:rsidR="002A1208" w:rsidRPr="00C6187A">
        <w:rPr>
          <w:rStyle w:val="Heading2Char"/>
          <w:rFonts w:ascii="Times New Roman" w:hAnsi="Times New Roman" w:cs="Times New Roman"/>
          <w:b w:val="0"/>
          <w:bCs w:val="0"/>
          <w:i/>
          <w:color w:val="000000" w:themeColor="text1"/>
          <w:sz w:val="22"/>
          <w:szCs w:val="22"/>
        </w:rPr>
        <w:t>Australian Universities Accord</w:t>
      </w:r>
      <w:r w:rsidR="002A1208">
        <w:rPr>
          <w:rStyle w:val="Heading2Char"/>
          <w:rFonts w:ascii="Times New Roman" w:hAnsi="Times New Roman" w:cs="Times New Roman"/>
          <w:b w:val="0"/>
          <w:bCs w:val="0"/>
          <w:color w:val="000000" w:themeColor="text1"/>
          <w:sz w:val="22"/>
          <w:szCs w:val="22"/>
        </w:rPr>
        <w:t xml:space="preserve"> on “learning and teaching that is personalised and scalable” (Australian Government, 2023, p. 81) through the use of UDL principles</w:t>
      </w:r>
      <w:r>
        <w:rPr>
          <w:rStyle w:val="Heading2Char"/>
          <w:rFonts w:ascii="Times New Roman" w:hAnsi="Times New Roman" w:cs="Times New Roman"/>
          <w:b w:val="0"/>
          <w:bCs w:val="0"/>
          <w:color w:val="000000" w:themeColor="text1"/>
          <w:sz w:val="22"/>
          <w:szCs w:val="22"/>
        </w:rPr>
        <w:t>.</w:t>
      </w:r>
    </w:p>
    <w:p w14:paraId="34C45BCA" w14:textId="77777777" w:rsidR="00FF6E79" w:rsidRDefault="00FF6E79" w:rsidP="00316BA2">
      <w:pPr>
        <w:spacing w:after="0" w:line="240" w:lineRule="auto"/>
        <w:rPr>
          <w:rStyle w:val="Heading2Char"/>
          <w:rFonts w:ascii="Times New Roman" w:hAnsi="Times New Roman" w:cs="Times New Roman"/>
          <w:b w:val="0"/>
          <w:bCs w:val="0"/>
          <w:color w:val="000000" w:themeColor="text1"/>
          <w:sz w:val="22"/>
          <w:szCs w:val="22"/>
        </w:rPr>
      </w:pPr>
    </w:p>
    <w:p w14:paraId="6C0225D4" w14:textId="77777777" w:rsidR="00FF6E79" w:rsidRPr="00FF6E79" w:rsidRDefault="001A0D5F" w:rsidP="00316BA2">
      <w:pPr>
        <w:spacing w:after="0" w:line="240" w:lineRule="auto"/>
        <w:rPr>
          <w:rStyle w:val="Heading2Char"/>
          <w:rFonts w:ascii="Times New Roman" w:hAnsi="Times New Roman" w:cs="Times New Roman"/>
          <w:bCs w:val="0"/>
          <w:color w:val="000000" w:themeColor="text1"/>
          <w:sz w:val="22"/>
          <w:szCs w:val="22"/>
        </w:rPr>
      </w:pPr>
      <w:r>
        <w:rPr>
          <w:rStyle w:val="Heading2Char"/>
          <w:rFonts w:ascii="Times New Roman" w:hAnsi="Times New Roman" w:cs="Times New Roman"/>
          <w:bCs w:val="0"/>
          <w:color w:val="000000" w:themeColor="text1"/>
          <w:sz w:val="22"/>
          <w:szCs w:val="22"/>
        </w:rPr>
        <w:t xml:space="preserve">Part </w:t>
      </w:r>
      <w:r w:rsidR="00FF6E79" w:rsidRPr="00FF6E79">
        <w:rPr>
          <w:rStyle w:val="Heading2Char"/>
          <w:rFonts w:ascii="Times New Roman" w:hAnsi="Times New Roman" w:cs="Times New Roman"/>
          <w:bCs w:val="0"/>
          <w:color w:val="000000" w:themeColor="text1"/>
          <w:sz w:val="22"/>
          <w:szCs w:val="22"/>
        </w:rPr>
        <w:t>1</w:t>
      </w:r>
      <w:r>
        <w:rPr>
          <w:rStyle w:val="Heading2Char"/>
          <w:rFonts w:ascii="Times New Roman" w:hAnsi="Times New Roman" w:cs="Times New Roman"/>
          <w:bCs w:val="0"/>
          <w:color w:val="000000" w:themeColor="text1"/>
          <w:sz w:val="22"/>
          <w:szCs w:val="22"/>
        </w:rPr>
        <w:t xml:space="preserve">: </w:t>
      </w:r>
      <w:r w:rsidR="00C6187A">
        <w:rPr>
          <w:rStyle w:val="Heading2Char"/>
          <w:rFonts w:ascii="Times New Roman" w:hAnsi="Times New Roman" w:cs="Times New Roman"/>
          <w:bCs w:val="0"/>
          <w:color w:val="000000" w:themeColor="text1"/>
          <w:sz w:val="22"/>
          <w:szCs w:val="22"/>
        </w:rPr>
        <w:t xml:space="preserve">The Brand-New </w:t>
      </w:r>
      <w:r>
        <w:rPr>
          <w:rStyle w:val="Heading2Char"/>
          <w:rFonts w:ascii="Times New Roman" w:hAnsi="Times New Roman" w:cs="Times New Roman"/>
          <w:bCs w:val="0"/>
          <w:color w:val="000000" w:themeColor="text1"/>
          <w:sz w:val="22"/>
          <w:szCs w:val="22"/>
        </w:rPr>
        <w:t>UDL 3.0</w:t>
      </w:r>
    </w:p>
    <w:p w14:paraId="297220DD" w14:textId="77777777" w:rsidR="00FF6E79" w:rsidRDefault="00FF6E79" w:rsidP="00316BA2">
      <w:pPr>
        <w:spacing w:after="0" w:line="240" w:lineRule="auto"/>
        <w:rPr>
          <w:rStyle w:val="Heading2Char"/>
          <w:rFonts w:ascii="Times New Roman" w:hAnsi="Times New Roman" w:cs="Times New Roman"/>
          <w:b w:val="0"/>
          <w:bCs w:val="0"/>
          <w:color w:val="000000" w:themeColor="text1"/>
          <w:sz w:val="22"/>
          <w:szCs w:val="22"/>
        </w:rPr>
      </w:pPr>
    </w:p>
    <w:p w14:paraId="1A639907" w14:textId="77777777" w:rsid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 xml:space="preserve">This </w:t>
      </w:r>
      <w:r w:rsidR="002A1208">
        <w:rPr>
          <w:rStyle w:val="Heading2Char"/>
          <w:rFonts w:ascii="Times New Roman" w:hAnsi="Times New Roman" w:cs="Times New Roman"/>
          <w:b w:val="0"/>
          <w:bCs w:val="0"/>
          <w:color w:val="000000" w:themeColor="text1"/>
          <w:sz w:val="22"/>
          <w:szCs w:val="22"/>
        </w:rPr>
        <w:t>session</w:t>
      </w:r>
      <w:r w:rsidRPr="00316BA2">
        <w:rPr>
          <w:rStyle w:val="Heading2Char"/>
          <w:rFonts w:ascii="Times New Roman" w:hAnsi="Times New Roman" w:cs="Times New Roman"/>
          <w:b w:val="0"/>
          <w:bCs w:val="0"/>
          <w:color w:val="000000" w:themeColor="text1"/>
          <w:sz w:val="22"/>
          <w:szCs w:val="22"/>
        </w:rPr>
        <w:t xml:space="preserve"> will introduce you to Universal Design for Learning, especially as newly revised </w:t>
      </w:r>
      <w:r w:rsidR="001A0D5F">
        <w:rPr>
          <w:rStyle w:val="Heading2Char"/>
          <w:rFonts w:ascii="Times New Roman" w:hAnsi="Times New Roman" w:cs="Times New Roman"/>
          <w:b w:val="0"/>
          <w:bCs w:val="0"/>
          <w:color w:val="000000" w:themeColor="text1"/>
          <w:sz w:val="22"/>
          <w:szCs w:val="22"/>
        </w:rPr>
        <w:t>for higher education (CAST, 2024</w:t>
      </w:r>
      <w:r w:rsidRPr="00316BA2">
        <w:rPr>
          <w:rStyle w:val="Heading2Char"/>
          <w:rFonts w:ascii="Times New Roman" w:hAnsi="Times New Roman" w:cs="Times New Roman"/>
          <w:b w:val="0"/>
          <w:bCs w:val="0"/>
          <w:color w:val="000000" w:themeColor="text1"/>
          <w:sz w:val="22"/>
          <w:szCs w:val="22"/>
        </w:rPr>
        <w:t>)</w:t>
      </w:r>
      <w:r w:rsidR="00C6187A">
        <w:rPr>
          <w:rStyle w:val="Heading2Char"/>
          <w:rFonts w:ascii="Times New Roman" w:hAnsi="Times New Roman" w:cs="Times New Roman"/>
          <w:b w:val="0"/>
          <w:bCs w:val="0"/>
          <w:color w:val="000000" w:themeColor="text1"/>
          <w:sz w:val="22"/>
          <w:szCs w:val="22"/>
        </w:rPr>
        <w:t xml:space="preserve">, with a focus on equity and inclusive practice, which aligns strongly with the goals of the </w:t>
      </w:r>
      <w:r w:rsidR="00C6187A" w:rsidRPr="00C6187A">
        <w:rPr>
          <w:rStyle w:val="Heading2Char"/>
          <w:rFonts w:ascii="Times New Roman" w:hAnsi="Times New Roman" w:cs="Times New Roman"/>
          <w:b w:val="0"/>
          <w:bCs w:val="0"/>
          <w:i/>
          <w:color w:val="000000" w:themeColor="text1"/>
          <w:sz w:val="22"/>
          <w:szCs w:val="22"/>
        </w:rPr>
        <w:t>Australian Universities Accord</w:t>
      </w:r>
      <w:r w:rsidR="00C6187A">
        <w:rPr>
          <w:rStyle w:val="Heading2Char"/>
          <w:rFonts w:ascii="Times New Roman" w:hAnsi="Times New Roman" w:cs="Times New Roman"/>
          <w:b w:val="0"/>
          <w:bCs w:val="0"/>
          <w:color w:val="000000" w:themeColor="text1"/>
          <w:sz w:val="22"/>
          <w:szCs w:val="22"/>
        </w:rPr>
        <w:t xml:space="preserve"> (2023)</w:t>
      </w:r>
      <w:r w:rsidRPr="00316BA2">
        <w:rPr>
          <w:rStyle w:val="Heading2Char"/>
          <w:rFonts w:ascii="Times New Roman" w:hAnsi="Times New Roman" w:cs="Times New Roman"/>
          <w:b w:val="0"/>
          <w:bCs w:val="0"/>
          <w:color w:val="000000" w:themeColor="text1"/>
          <w:sz w:val="22"/>
          <w:szCs w:val="22"/>
        </w:rPr>
        <w:t xml:space="preserve">. You will discover how to implement UDL in the design of your course and clinical interactions, creating spaces for best teaching and support practices to take place—in the classroom and beyond. </w:t>
      </w:r>
    </w:p>
    <w:p w14:paraId="79F253BE" w14:textId="77777777" w:rsidR="00C6187A" w:rsidRDefault="00C6187A" w:rsidP="00316BA2">
      <w:pPr>
        <w:spacing w:after="0" w:line="240" w:lineRule="auto"/>
        <w:rPr>
          <w:rStyle w:val="Heading2Char"/>
          <w:rFonts w:ascii="Times New Roman" w:hAnsi="Times New Roman" w:cs="Times New Roman"/>
          <w:b w:val="0"/>
          <w:bCs w:val="0"/>
          <w:color w:val="000000" w:themeColor="text1"/>
          <w:sz w:val="22"/>
          <w:szCs w:val="22"/>
        </w:rPr>
      </w:pPr>
    </w:p>
    <w:p w14:paraId="608394AF" w14:textId="77777777" w:rsidR="00316BA2" w:rsidRPr="00316BA2" w:rsidRDefault="00316BA2" w:rsidP="002100EC">
      <w:pPr>
        <w:spacing w:after="0" w:line="240" w:lineRule="auto"/>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 xml:space="preserve">You’ll also find out where to look for help at your institution and in </w:t>
      </w:r>
      <w:r w:rsidR="00C6187A">
        <w:rPr>
          <w:rStyle w:val="Heading2Char"/>
          <w:rFonts w:ascii="Times New Roman" w:hAnsi="Times New Roman" w:cs="Times New Roman"/>
          <w:b w:val="0"/>
          <w:bCs w:val="0"/>
          <w:color w:val="000000" w:themeColor="text1"/>
          <w:sz w:val="22"/>
          <w:szCs w:val="22"/>
        </w:rPr>
        <w:t>the VLE</w:t>
      </w:r>
      <w:r w:rsidR="002100EC">
        <w:rPr>
          <w:rStyle w:val="Heading2Char"/>
          <w:rFonts w:ascii="Times New Roman" w:hAnsi="Times New Roman" w:cs="Times New Roman"/>
          <w:b w:val="0"/>
          <w:bCs w:val="0"/>
          <w:color w:val="000000" w:themeColor="text1"/>
          <w:sz w:val="22"/>
          <w:szCs w:val="22"/>
        </w:rPr>
        <w:t>:</w:t>
      </w:r>
      <w:r w:rsidRPr="00316BA2">
        <w:rPr>
          <w:rStyle w:val="Heading2Char"/>
          <w:rFonts w:ascii="Times New Roman" w:hAnsi="Times New Roman" w:cs="Times New Roman"/>
          <w:b w:val="0"/>
          <w:bCs w:val="0"/>
          <w:color w:val="000000" w:themeColor="text1"/>
          <w:sz w:val="22"/>
          <w:szCs w:val="22"/>
        </w:rPr>
        <w:t xml:space="preserve"> recent research from CAST and the Center for Universal Design in Education suggests that institutions whose faculty-support staff members use UDL, too, see better adoption rates and deeper penetration of UDL principles across all courses (CAST, 2014; DO-IT, 2015). By attending this </w:t>
      </w:r>
      <w:r w:rsidR="002A1208">
        <w:rPr>
          <w:rStyle w:val="Heading2Char"/>
          <w:rFonts w:ascii="Times New Roman" w:hAnsi="Times New Roman" w:cs="Times New Roman"/>
          <w:b w:val="0"/>
          <w:bCs w:val="0"/>
          <w:color w:val="000000" w:themeColor="text1"/>
          <w:sz w:val="22"/>
          <w:szCs w:val="22"/>
        </w:rPr>
        <w:t>session</w:t>
      </w:r>
      <w:r w:rsidRPr="00316BA2">
        <w:rPr>
          <w:rStyle w:val="Heading2Char"/>
          <w:rFonts w:ascii="Times New Roman" w:hAnsi="Times New Roman" w:cs="Times New Roman"/>
          <w:b w:val="0"/>
          <w:bCs w:val="0"/>
          <w:color w:val="000000" w:themeColor="text1"/>
          <w:sz w:val="22"/>
          <w:szCs w:val="22"/>
        </w:rPr>
        <w:t xml:space="preserve">, you will be able to </w:t>
      </w:r>
    </w:p>
    <w:p w14:paraId="32EBF6BC" w14:textId="77777777" w:rsidR="00316BA2" w:rsidRP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p>
    <w:p w14:paraId="21655920" w14:textId="77777777" w:rsidR="00316BA2" w:rsidRPr="00316BA2" w:rsidRDefault="00316BA2" w:rsidP="00316BA2">
      <w:pPr>
        <w:pStyle w:val="ListParagraph"/>
        <w:numPr>
          <w:ilvl w:val="0"/>
          <w:numId w:val="7"/>
        </w:numPr>
        <w:spacing w:after="0" w:line="240" w:lineRule="auto"/>
        <w:contextualSpacing w:val="0"/>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incorporate Universal Design for Learning (UDL) elements into your courses,</w:t>
      </w:r>
    </w:p>
    <w:p w14:paraId="4818D766" w14:textId="77777777" w:rsidR="00316BA2" w:rsidRPr="00316BA2" w:rsidRDefault="00316BA2" w:rsidP="00316BA2">
      <w:pPr>
        <w:pStyle w:val="ListParagraph"/>
        <w:numPr>
          <w:ilvl w:val="0"/>
          <w:numId w:val="7"/>
        </w:numPr>
        <w:spacing w:after="0" w:line="240" w:lineRule="auto"/>
        <w:contextualSpacing w:val="0"/>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design course components using UDL principles, and</w:t>
      </w:r>
    </w:p>
    <w:p w14:paraId="7C0C356C" w14:textId="77777777" w:rsidR="00316BA2" w:rsidRPr="00316BA2" w:rsidRDefault="00316BA2" w:rsidP="00760528">
      <w:pPr>
        <w:pStyle w:val="ListParagraph"/>
        <w:numPr>
          <w:ilvl w:val="0"/>
          <w:numId w:val="7"/>
        </w:numPr>
        <w:spacing w:after="0" w:line="240" w:lineRule="auto"/>
        <w:contextualSpacing w:val="0"/>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 xml:space="preserve">describe how to expand your institution’s use of UDL elements beyond </w:t>
      </w:r>
      <w:r w:rsidR="001A0D5F">
        <w:rPr>
          <w:rStyle w:val="Heading2Char"/>
          <w:rFonts w:ascii="Times New Roman" w:hAnsi="Times New Roman" w:cs="Times New Roman"/>
          <w:b w:val="0"/>
          <w:bCs w:val="0"/>
          <w:color w:val="000000" w:themeColor="text1"/>
          <w:sz w:val="22"/>
          <w:szCs w:val="22"/>
        </w:rPr>
        <w:t xml:space="preserve">just </w:t>
      </w:r>
      <w:r w:rsidR="00760528">
        <w:rPr>
          <w:rStyle w:val="Heading2Char"/>
          <w:rFonts w:ascii="Times New Roman" w:hAnsi="Times New Roman" w:cs="Times New Roman"/>
          <w:b w:val="0"/>
          <w:bCs w:val="0"/>
          <w:color w:val="000000" w:themeColor="text1"/>
          <w:sz w:val="22"/>
          <w:szCs w:val="22"/>
        </w:rPr>
        <w:t>accessibility requirements</w:t>
      </w:r>
      <w:r w:rsidRPr="00316BA2">
        <w:rPr>
          <w:rStyle w:val="Heading2Char"/>
          <w:rFonts w:ascii="Times New Roman" w:hAnsi="Times New Roman" w:cs="Times New Roman"/>
          <w:b w:val="0"/>
          <w:bCs w:val="0"/>
          <w:color w:val="000000" w:themeColor="text1"/>
          <w:sz w:val="22"/>
          <w:szCs w:val="22"/>
        </w:rPr>
        <w:t>.</w:t>
      </w:r>
    </w:p>
    <w:p w14:paraId="7B6A7A79" w14:textId="77777777" w:rsidR="00316BA2" w:rsidRP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p>
    <w:p w14:paraId="3EE9791B" w14:textId="77777777" w:rsidR="00316BA2" w:rsidRP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r w:rsidRPr="00316BA2">
        <w:rPr>
          <w:rStyle w:val="Heading2Char"/>
          <w:rFonts w:ascii="Times New Roman" w:hAnsi="Times New Roman" w:cs="Times New Roman"/>
          <w:b w:val="0"/>
          <w:bCs w:val="0"/>
          <w:color w:val="000000" w:themeColor="text1"/>
          <w:sz w:val="22"/>
          <w:szCs w:val="22"/>
        </w:rPr>
        <w:t xml:space="preserve">This </w:t>
      </w:r>
      <w:r w:rsidR="002A1208">
        <w:rPr>
          <w:rStyle w:val="Heading2Char"/>
          <w:rFonts w:ascii="Times New Roman" w:hAnsi="Times New Roman" w:cs="Times New Roman"/>
          <w:b w:val="0"/>
          <w:bCs w:val="0"/>
          <w:color w:val="000000" w:themeColor="text1"/>
          <w:sz w:val="22"/>
          <w:szCs w:val="22"/>
        </w:rPr>
        <w:t>session</w:t>
      </w:r>
      <w:r w:rsidRPr="00316BA2">
        <w:rPr>
          <w:rStyle w:val="Heading2Char"/>
          <w:rFonts w:ascii="Times New Roman" w:hAnsi="Times New Roman" w:cs="Times New Roman"/>
          <w:b w:val="0"/>
          <w:bCs w:val="0"/>
          <w:color w:val="000000" w:themeColor="text1"/>
          <w:sz w:val="22"/>
          <w:szCs w:val="22"/>
        </w:rPr>
        <w:t xml:space="preserve"> uses active-learning techniques and provides use-them-now resources for participants. Especially by relating UDL to broader access benefits for all learners, this </w:t>
      </w:r>
      <w:r w:rsidR="002A1208">
        <w:rPr>
          <w:rStyle w:val="Heading2Char"/>
          <w:rFonts w:ascii="Times New Roman" w:hAnsi="Times New Roman" w:cs="Times New Roman"/>
          <w:b w:val="0"/>
          <w:bCs w:val="0"/>
          <w:color w:val="000000" w:themeColor="text1"/>
          <w:sz w:val="22"/>
          <w:szCs w:val="22"/>
        </w:rPr>
        <w:t>session</w:t>
      </w:r>
      <w:r w:rsidRPr="00316BA2">
        <w:rPr>
          <w:rStyle w:val="Heading2Char"/>
          <w:rFonts w:ascii="Times New Roman" w:hAnsi="Times New Roman" w:cs="Times New Roman"/>
          <w:b w:val="0"/>
          <w:bCs w:val="0"/>
          <w:color w:val="000000" w:themeColor="text1"/>
          <w:sz w:val="22"/>
          <w:szCs w:val="22"/>
        </w:rPr>
        <w:t xml:space="preserve">’s activities serve as a model for participants to re-frame accessibility and inclusion conversations. </w:t>
      </w:r>
    </w:p>
    <w:p w14:paraId="1DD7D21C" w14:textId="77777777" w:rsidR="00316BA2" w:rsidRDefault="00316BA2" w:rsidP="00316BA2">
      <w:pPr>
        <w:spacing w:after="0" w:line="240" w:lineRule="auto"/>
        <w:rPr>
          <w:rStyle w:val="Heading2Char"/>
          <w:rFonts w:ascii="Times New Roman" w:hAnsi="Times New Roman" w:cs="Times New Roman"/>
          <w:b w:val="0"/>
          <w:bCs w:val="0"/>
          <w:color w:val="000000" w:themeColor="text1"/>
          <w:sz w:val="22"/>
          <w:szCs w:val="22"/>
        </w:rPr>
      </w:pPr>
    </w:p>
    <w:p w14:paraId="7BA432B7" w14:textId="77777777" w:rsidR="00316BA2" w:rsidRDefault="001A0D5F" w:rsidP="00760528">
      <w:pPr>
        <w:spacing w:after="0" w:line="240" w:lineRule="auto"/>
        <w:rPr>
          <w:rStyle w:val="Heading2Char"/>
          <w:rFonts w:ascii="Times New Roman" w:hAnsi="Times New Roman" w:cs="Times New Roman"/>
          <w:b w:val="0"/>
          <w:bCs w:val="0"/>
          <w:color w:val="000000" w:themeColor="text1"/>
          <w:sz w:val="22"/>
          <w:szCs w:val="22"/>
        </w:rPr>
      </w:pPr>
      <w:r>
        <w:rPr>
          <w:rStyle w:val="Heading2Char"/>
          <w:rFonts w:ascii="Times New Roman" w:hAnsi="Times New Roman" w:cs="Times New Roman"/>
          <w:b w:val="0"/>
          <w:bCs w:val="0"/>
          <w:color w:val="000000" w:themeColor="text1"/>
          <w:sz w:val="22"/>
          <w:szCs w:val="22"/>
        </w:rPr>
        <w:t>We will posit</w:t>
      </w:r>
      <w:r w:rsidR="00316BA2" w:rsidRPr="00316BA2">
        <w:rPr>
          <w:rStyle w:val="Heading2Char"/>
          <w:rFonts w:ascii="Times New Roman" w:hAnsi="Times New Roman" w:cs="Times New Roman"/>
          <w:b w:val="0"/>
          <w:bCs w:val="0"/>
          <w:color w:val="000000" w:themeColor="text1"/>
          <w:sz w:val="22"/>
          <w:szCs w:val="22"/>
        </w:rPr>
        <w:t xml:space="preserve"> diversity in its most inclusive form: instead of relying solely on</w:t>
      </w:r>
      <w:r w:rsidR="00760528">
        <w:rPr>
          <w:rStyle w:val="Heading2Char"/>
          <w:rFonts w:ascii="Times New Roman" w:hAnsi="Times New Roman" w:cs="Times New Roman"/>
          <w:b w:val="0"/>
          <w:bCs w:val="0"/>
          <w:color w:val="000000" w:themeColor="text1"/>
          <w:sz w:val="22"/>
          <w:szCs w:val="22"/>
        </w:rPr>
        <w:t xml:space="preserve"> accommodation services for</w:t>
      </w:r>
      <w:r w:rsidR="00316BA2" w:rsidRPr="00316BA2">
        <w:rPr>
          <w:rStyle w:val="Heading2Char"/>
          <w:rFonts w:ascii="Times New Roman" w:hAnsi="Times New Roman" w:cs="Times New Roman"/>
          <w:b w:val="0"/>
          <w:bCs w:val="0"/>
          <w:color w:val="000000" w:themeColor="text1"/>
          <w:sz w:val="22"/>
          <w:szCs w:val="22"/>
        </w:rPr>
        <w:t xml:space="preserve"> lear</w:t>
      </w:r>
      <w:r w:rsidR="00760528">
        <w:rPr>
          <w:rStyle w:val="Heading2Char"/>
          <w:rFonts w:ascii="Times New Roman" w:hAnsi="Times New Roman" w:cs="Times New Roman"/>
          <w:b w:val="0"/>
          <w:bCs w:val="0"/>
          <w:color w:val="000000" w:themeColor="text1"/>
          <w:sz w:val="22"/>
          <w:szCs w:val="22"/>
        </w:rPr>
        <w:t>ners with disabilities—</w:t>
      </w:r>
      <w:r w:rsidR="00316BA2" w:rsidRPr="00316BA2">
        <w:rPr>
          <w:rStyle w:val="Heading2Char"/>
          <w:rFonts w:ascii="Times New Roman" w:hAnsi="Times New Roman" w:cs="Times New Roman"/>
          <w:b w:val="0"/>
          <w:bCs w:val="0"/>
          <w:color w:val="000000" w:themeColor="text1"/>
          <w:sz w:val="22"/>
          <w:szCs w:val="22"/>
        </w:rPr>
        <w:t>most often a last-minute, ad-hoc, reactive process—adopting UDL as part of an institution’s culture of course design, teaching practices, and support services allows all learners to benefit, regardless of their place on the ability or availability spectrum.</w:t>
      </w:r>
    </w:p>
    <w:p w14:paraId="653A9FAC" w14:textId="77777777" w:rsidR="00FF6E79" w:rsidRDefault="00FF6E79" w:rsidP="00760528">
      <w:pPr>
        <w:spacing w:after="0" w:line="240" w:lineRule="auto"/>
        <w:rPr>
          <w:rStyle w:val="Heading2Char"/>
          <w:rFonts w:ascii="Times New Roman" w:hAnsi="Times New Roman" w:cs="Times New Roman"/>
          <w:b w:val="0"/>
          <w:bCs w:val="0"/>
          <w:color w:val="000000" w:themeColor="text1"/>
          <w:sz w:val="22"/>
          <w:szCs w:val="22"/>
        </w:rPr>
      </w:pPr>
    </w:p>
    <w:p w14:paraId="150C79CE" w14:textId="77777777" w:rsidR="00174FEB" w:rsidRDefault="00174FEB">
      <w:pPr>
        <w:rPr>
          <w:rStyle w:val="Heading2Char"/>
          <w:rFonts w:ascii="Times New Roman" w:hAnsi="Times New Roman" w:cs="Times New Roman"/>
          <w:bCs w:val="0"/>
          <w:color w:val="000000" w:themeColor="text1"/>
          <w:sz w:val="22"/>
          <w:szCs w:val="22"/>
        </w:rPr>
      </w:pPr>
      <w:r>
        <w:rPr>
          <w:rStyle w:val="Heading2Char"/>
          <w:rFonts w:ascii="Times New Roman" w:hAnsi="Times New Roman" w:cs="Times New Roman"/>
          <w:bCs w:val="0"/>
          <w:color w:val="000000" w:themeColor="text1"/>
          <w:sz w:val="22"/>
          <w:szCs w:val="22"/>
        </w:rPr>
        <w:br w:type="page"/>
      </w:r>
    </w:p>
    <w:p w14:paraId="1AA99207" w14:textId="77777777" w:rsidR="00C44E11" w:rsidRDefault="00C6187A" w:rsidP="00760528">
      <w:pPr>
        <w:spacing w:after="0" w:line="240" w:lineRule="auto"/>
        <w:rPr>
          <w:rStyle w:val="Heading2Char"/>
          <w:rFonts w:ascii="Times New Roman" w:hAnsi="Times New Roman" w:cs="Times New Roman"/>
          <w:b w:val="0"/>
          <w:bCs w:val="0"/>
          <w:color w:val="000000" w:themeColor="text1"/>
          <w:sz w:val="22"/>
          <w:szCs w:val="22"/>
        </w:rPr>
      </w:pPr>
      <w:r>
        <w:rPr>
          <w:rStyle w:val="Heading2Char"/>
          <w:rFonts w:ascii="Times New Roman" w:hAnsi="Times New Roman" w:cs="Times New Roman"/>
          <w:bCs w:val="0"/>
          <w:color w:val="000000" w:themeColor="text1"/>
          <w:sz w:val="22"/>
          <w:szCs w:val="22"/>
        </w:rPr>
        <w:lastRenderedPageBreak/>
        <w:t>Part 2: Scaling Up</w:t>
      </w:r>
    </w:p>
    <w:p w14:paraId="7653E73D" w14:textId="77777777" w:rsidR="00C44E11" w:rsidRDefault="00C44E11" w:rsidP="00760528">
      <w:pPr>
        <w:spacing w:after="0" w:line="240" w:lineRule="auto"/>
        <w:rPr>
          <w:rStyle w:val="Heading2Char"/>
          <w:rFonts w:ascii="Times New Roman" w:hAnsi="Times New Roman" w:cs="Times New Roman"/>
          <w:b w:val="0"/>
          <w:bCs w:val="0"/>
          <w:color w:val="000000" w:themeColor="text1"/>
          <w:sz w:val="22"/>
          <w:szCs w:val="22"/>
        </w:rPr>
      </w:pPr>
    </w:p>
    <w:p w14:paraId="0BDB010E"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The universal design for learning (UDL) framework has been shown to lower barriers and increase learner persistence, retention, and satisfaction in colleges and universities worldwide. Large-scale studies within the past two years are demonstrating that learners who have a sense of voice, choice, agency, safety, and belonging in their programs are significantly more likely to complete their educational goals successfully (Tobin, 2018).</w:t>
      </w:r>
    </w:p>
    <w:p w14:paraId="6BC42D28"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600544C6"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Further, the adoption of inclusive design practices of all kinds, including UDL, is most effective at the systemic level. Much of the literature in the field focuses on steps that individual instructors and designers can take; the field of campus-wide and systemic UDL application is relatively new, and theorists and practitioners are creating new approaches to help colleagues to discover the most needed places in their services and offerings where lowered barriers will have the greatest initial impact (cf. Cameron, 2016, Tobin &amp; Behling, 2018, and Nave, 2019).</w:t>
      </w:r>
    </w:p>
    <w:p w14:paraId="452C59D7"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517F54E3"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 xml:space="preserve">This part of our </w:t>
      </w:r>
      <w:r w:rsidR="002A1208">
        <w:rPr>
          <w:rFonts w:ascii="Times New Roman" w:eastAsiaTheme="majorEastAsia" w:hAnsi="Times New Roman" w:cs="Times New Roman"/>
          <w:bCs/>
          <w:color w:val="000000" w:themeColor="text1"/>
        </w:rPr>
        <w:t>session</w:t>
      </w:r>
      <w:r w:rsidRPr="00C44E11">
        <w:rPr>
          <w:rFonts w:ascii="Times New Roman" w:eastAsiaTheme="majorEastAsia" w:hAnsi="Times New Roman" w:cs="Times New Roman"/>
          <w:bCs/>
          <w:color w:val="000000" w:themeColor="text1"/>
        </w:rPr>
        <w:t xml:space="preserve"> is intended to introduce participants to these new approaches to system-wide adoption of inclusive-design practices, using data and evidence from recent large-n studies (such as Manly, 2022).</w:t>
      </w:r>
      <w:r>
        <w:rPr>
          <w:rFonts w:ascii="Times New Roman" w:eastAsiaTheme="majorEastAsia" w:hAnsi="Times New Roman" w:cs="Times New Roman"/>
          <w:bCs/>
          <w:color w:val="000000" w:themeColor="text1"/>
        </w:rPr>
        <w:t xml:space="preserve"> By attending this </w:t>
      </w:r>
      <w:r w:rsidR="002A1208">
        <w:rPr>
          <w:rFonts w:ascii="Times New Roman" w:eastAsiaTheme="majorEastAsia" w:hAnsi="Times New Roman" w:cs="Times New Roman"/>
          <w:bCs/>
          <w:color w:val="000000" w:themeColor="text1"/>
        </w:rPr>
        <w:t>session</w:t>
      </w:r>
      <w:r>
        <w:rPr>
          <w:rFonts w:ascii="Times New Roman" w:eastAsiaTheme="majorEastAsia" w:hAnsi="Times New Roman" w:cs="Times New Roman"/>
          <w:bCs/>
          <w:color w:val="000000" w:themeColor="text1"/>
        </w:rPr>
        <w:t xml:space="preserve"> section</w:t>
      </w:r>
      <w:r w:rsidRPr="00C44E11">
        <w:rPr>
          <w:rFonts w:ascii="Times New Roman" w:eastAsiaTheme="majorEastAsia" w:hAnsi="Times New Roman" w:cs="Times New Roman"/>
          <w:bCs/>
          <w:color w:val="000000" w:themeColor="text1"/>
        </w:rPr>
        <w:t>, participants will be able to</w:t>
      </w:r>
    </w:p>
    <w:p w14:paraId="1CE862C2"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1A215B3C" w14:textId="77777777" w:rsidR="00C44E11" w:rsidRPr="00C44E11" w:rsidRDefault="00C44E11" w:rsidP="00C44E11">
      <w:pPr>
        <w:numPr>
          <w:ilvl w:val="0"/>
          <w:numId w:val="8"/>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define how UDL considerations change at the institutional and system-level scales;</w:t>
      </w:r>
    </w:p>
    <w:p w14:paraId="0CB5CD77" w14:textId="77777777" w:rsidR="00C44E11" w:rsidRPr="00C44E11" w:rsidRDefault="00C44E11" w:rsidP="00C44E11">
      <w:pPr>
        <w:numPr>
          <w:ilvl w:val="0"/>
          <w:numId w:val="8"/>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create action plans for UDL along three strategic pillars of access, inclusion, and predictability; and</w:t>
      </w:r>
    </w:p>
    <w:p w14:paraId="3597F857" w14:textId="77777777" w:rsidR="00C44E11" w:rsidRPr="00C44E11" w:rsidRDefault="00C44E11" w:rsidP="00C44E11">
      <w:pPr>
        <w:numPr>
          <w:ilvl w:val="0"/>
          <w:numId w:val="8"/>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attract funding, resources, and time for systemic UDL application and assessment.</w:t>
      </w:r>
    </w:p>
    <w:p w14:paraId="221EFE98" w14:textId="77777777" w:rsidR="00C44E11" w:rsidRDefault="00C44E11" w:rsidP="00760528">
      <w:pPr>
        <w:spacing w:after="0" w:line="240" w:lineRule="auto"/>
        <w:rPr>
          <w:rStyle w:val="Heading2Char"/>
          <w:rFonts w:ascii="Times New Roman" w:hAnsi="Times New Roman" w:cs="Times New Roman"/>
          <w:b w:val="0"/>
          <w:color w:val="000000" w:themeColor="text1"/>
          <w:sz w:val="22"/>
          <w:szCs w:val="22"/>
        </w:rPr>
      </w:pPr>
    </w:p>
    <w:p w14:paraId="1A19D0A8"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This interactive segment</w:t>
      </w:r>
      <w:r w:rsidRPr="00C44E11">
        <w:rPr>
          <w:rFonts w:ascii="Times New Roman" w:eastAsiaTheme="majorEastAsia" w:hAnsi="Times New Roman" w:cs="Times New Roman"/>
          <w:bCs/>
          <w:color w:val="000000" w:themeColor="text1"/>
        </w:rPr>
        <w:t xml:space="preserve"> is intended to be a guided-practice exploration of large-scale UDL applications. In addition to the core accessibility practices of audio image description, text labeling, and chat-based conversation, the presenter plan to incorporate four multi-format engagement strategies:</w:t>
      </w:r>
    </w:p>
    <w:p w14:paraId="6B6682CA"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56B45D58" w14:textId="77777777" w:rsidR="00C44E11" w:rsidRPr="00C44E11" w:rsidRDefault="00C44E11" w:rsidP="00C44E11">
      <w:pPr>
        <w:numPr>
          <w:ilvl w:val="0"/>
          <w:numId w:val="9"/>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i/>
          <w:iCs/>
          <w:color w:val="000000" w:themeColor="text1"/>
        </w:rPr>
        <w:t xml:space="preserve">Built-in time for reflection and structuring. </w:t>
      </w:r>
      <w:r w:rsidRPr="00C44E11">
        <w:rPr>
          <w:rFonts w:ascii="Times New Roman" w:eastAsiaTheme="majorEastAsia" w:hAnsi="Times New Roman" w:cs="Times New Roman"/>
          <w:bCs/>
          <w:color w:val="000000" w:themeColor="text1"/>
        </w:rPr>
        <w:t>Participants will have 2-minute reflection/thought times built in to 4 segments throughout the hour of the session. Their notes can take the form of private comments, shared comments in the Zoom chat feature, or sharing via the Zoom microphone and/or video.</w:t>
      </w:r>
    </w:p>
    <w:p w14:paraId="606DCA6A" w14:textId="77777777" w:rsidR="00C44E11" w:rsidRPr="00C44E11" w:rsidRDefault="00C44E11" w:rsidP="00C44E11">
      <w:pPr>
        <w:numPr>
          <w:ilvl w:val="0"/>
          <w:numId w:val="9"/>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i/>
          <w:iCs/>
          <w:color w:val="000000" w:themeColor="text1"/>
        </w:rPr>
        <w:t xml:space="preserve">Participant-led application. </w:t>
      </w:r>
      <w:r w:rsidRPr="00C44E11">
        <w:rPr>
          <w:rFonts w:ascii="Times New Roman" w:eastAsiaTheme="majorEastAsia" w:hAnsi="Times New Roman" w:cs="Times New Roman"/>
          <w:bCs/>
          <w:color w:val="000000" w:themeColor="text1"/>
        </w:rPr>
        <w:t>For each of the three key pillars of the UDL-at-scale practices, participants will engage collaboratively in order to build one system-level interaction with UDL characteristics.</w:t>
      </w:r>
    </w:p>
    <w:p w14:paraId="6EFB2F5A" w14:textId="77777777" w:rsidR="00C44E11" w:rsidRPr="00C44E11" w:rsidRDefault="00C44E11" w:rsidP="00C44E11">
      <w:pPr>
        <w:numPr>
          <w:ilvl w:val="0"/>
          <w:numId w:val="9"/>
        </w:num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i/>
          <w:iCs/>
          <w:color w:val="000000" w:themeColor="text1"/>
        </w:rPr>
        <w:t>Post-session details.</w:t>
      </w:r>
      <w:r w:rsidRPr="00C44E11">
        <w:rPr>
          <w:rFonts w:ascii="Times New Roman" w:eastAsiaTheme="majorEastAsia" w:hAnsi="Times New Roman" w:cs="Times New Roman"/>
          <w:bCs/>
          <w:color w:val="000000" w:themeColor="text1"/>
        </w:rPr>
        <w:t xml:space="preserve"> Because the session is intended to be an intermediate-level use-them-tomorrow examination of the three pillar practices, handouts, white papers, and a bibliography will serve to guide further practice beyond the conference session.</w:t>
      </w:r>
    </w:p>
    <w:p w14:paraId="355490A6" w14:textId="77777777" w:rsidR="00C44E11" w:rsidRDefault="00C44E11" w:rsidP="00760528">
      <w:pPr>
        <w:spacing w:after="0" w:line="240" w:lineRule="auto"/>
        <w:rPr>
          <w:rStyle w:val="Heading2Char"/>
          <w:rFonts w:ascii="Times New Roman" w:hAnsi="Times New Roman" w:cs="Times New Roman"/>
          <w:b w:val="0"/>
          <w:color w:val="000000" w:themeColor="text1"/>
          <w:sz w:val="22"/>
          <w:szCs w:val="22"/>
        </w:rPr>
      </w:pPr>
    </w:p>
    <w:p w14:paraId="083DFB03"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 xml:space="preserve">Most of us know how to implement universal design for learning (UDL) in individual activities, courses, and service interactions. But how do we go from having a few people who know a lot about inclusive design to helping everyone to know and do a few keystone practices based on the UDL framework? </w:t>
      </w:r>
    </w:p>
    <w:p w14:paraId="4CD3593D"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63134702"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 xml:space="preserve">In this interactive </w:t>
      </w:r>
      <w:r w:rsidR="002A1208">
        <w:rPr>
          <w:rFonts w:ascii="Times New Roman" w:eastAsiaTheme="majorEastAsia" w:hAnsi="Times New Roman" w:cs="Times New Roman"/>
          <w:bCs/>
          <w:color w:val="000000" w:themeColor="text1"/>
        </w:rPr>
        <w:t>session</w:t>
      </w:r>
      <w:r w:rsidRPr="00C44E11">
        <w:rPr>
          <w:rFonts w:ascii="Times New Roman" w:eastAsiaTheme="majorEastAsia" w:hAnsi="Times New Roman" w:cs="Times New Roman"/>
          <w:bCs/>
          <w:color w:val="000000" w:themeColor="text1"/>
        </w:rPr>
        <w:t>, you will learn how the principles and checkpoints in the UDL framework translate into action plans for UDL along three strategic pillars of access, inclusion, and predictability. You will take away models for attracting funding, resources, and time for systemic UDL application.</w:t>
      </w:r>
    </w:p>
    <w:p w14:paraId="75980D5C"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6545895E"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Our conversation</w:t>
      </w:r>
      <w:r w:rsidRPr="00C44E11">
        <w:rPr>
          <w:rFonts w:ascii="Times New Roman" w:eastAsiaTheme="majorEastAsia" w:hAnsi="Times New Roman" w:cs="Times New Roman"/>
          <w:bCs/>
          <w:color w:val="000000" w:themeColor="text1"/>
        </w:rPr>
        <w:t xml:space="preserve"> will begin by situating UDL in the neuroscience of how humans learn. Because UDL is couched in social-emotional learning research, it is a useful “middle ground” between a rigid curriculum and differentiated instruction. In individual interactions, the three principles of multiple means of engagement, representation, and action &amp; expression lead to the 31 checkpoints of access options </w:t>
      </w:r>
      <w:r w:rsidRPr="00C44E11">
        <w:rPr>
          <w:rFonts w:ascii="Times New Roman" w:eastAsiaTheme="majorEastAsia" w:hAnsi="Times New Roman" w:cs="Times New Roman"/>
          <w:bCs/>
          <w:color w:val="000000" w:themeColor="text1"/>
        </w:rPr>
        <w:lastRenderedPageBreak/>
        <w:t>(recruiting interest, perception, physical action), building options (effort &amp; persistence, language &amp; symbols, expression &amp; communication), and internalization options (self-regulation, comprehension, executive functions).</w:t>
      </w:r>
    </w:p>
    <w:p w14:paraId="37B3BA3C"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04FC5688"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At scale, the broad goals of UDL remain: creating expert learners who are purposeful, motivated, resourceful, knowledgeable, strategic, and goal-directed. However, instead of thinking in more granular terms, system UDL addresses fewer, broader, more strategic goals: learner persistence, retention, and satisfaction. As focus shifts from individual applications to systemic practices, UDL leverages the power of defaults and applications move beyond the classroom and formal teaching-and-learning interactions. We will examine how UDL creates tension between individual academic freedom and countervailing benefits of access and predictability.</w:t>
      </w:r>
    </w:p>
    <w:p w14:paraId="5F9064DD"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417A5ABC"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Implementation of UDL at large scale requires re-framing, so that practitioners know the core values and strategies to implement, and can exercise flexibility in doing so. The strategic pillars of access, inclusion, and predictability tie back to UDL’s broad goals. Access to interactions is a foundation-level pillar that supports diverse, and equitable systems. The pillar of inclusion focuses on sharing the benefits of teaching, research, and scholarship throughout institutional service areas and beyond our traditional borders to enhance the holistic development of learners by combining learning in and beyond the classroom that is steeped in the values of the institution. And the pillar of predictability strengthens ethical practices, educational outcomes, career development, and the learning experience for all learners, while strengthening financial performance, growing revenue, and delivering innovative ways to invest in strategic priorities.</w:t>
      </w:r>
    </w:p>
    <w:p w14:paraId="0DF7C015" w14:textId="77777777" w:rsidR="00C44E11" w:rsidRPr="00C44E11" w:rsidRDefault="00C44E11" w:rsidP="00C44E11">
      <w:pPr>
        <w:spacing w:after="0" w:line="240" w:lineRule="auto"/>
        <w:rPr>
          <w:rFonts w:ascii="Times New Roman" w:eastAsiaTheme="majorEastAsia" w:hAnsi="Times New Roman" w:cs="Times New Roman"/>
          <w:bCs/>
          <w:color w:val="000000" w:themeColor="text1"/>
        </w:rPr>
      </w:pPr>
    </w:p>
    <w:p w14:paraId="74909AAD" w14:textId="77777777" w:rsidR="001A0D5F" w:rsidRDefault="00C44E11" w:rsidP="00C44E11">
      <w:pPr>
        <w:spacing w:after="0" w:line="24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In our interactive conversation</w:t>
      </w:r>
      <w:r w:rsidRPr="00C44E11">
        <w:rPr>
          <w:rFonts w:ascii="Times New Roman" w:eastAsiaTheme="majorEastAsia" w:hAnsi="Times New Roman" w:cs="Times New Roman"/>
          <w:bCs/>
          <w:color w:val="000000" w:themeColor="text1"/>
        </w:rPr>
        <w:t xml:space="preserve">, we’ll make time to reflect, construct, and collaborate on five UDL-at-scale key practices. </w:t>
      </w:r>
    </w:p>
    <w:p w14:paraId="6A8ACFC3" w14:textId="77777777" w:rsidR="001A0D5F" w:rsidRDefault="001A0D5F" w:rsidP="00C44E11">
      <w:pPr>
        <w:spacing w:after="0" w:line="240" w:lineRule="auto"/>
        <w:rPr>
          <w:rFonts w:ascii="Times New Roman" w:eastAsiaTheme="majorEastAsia" w:hAnsi="Times New Roman" w:cs="Times New Roman"/>
          <w:bCs/>
          <w:color w:val="000000" w:themeColor="text1"/>
        </w:rPr>
      </w:pPr>
    </w:p>
    <w:p w14:paraId="6A5161DA" w14:textId="77777777" w:rsidR="001A0D5F" w:rsidRDefault="00C44E11" w:rsidP="001A0D5F">
      <w:pPr>
        <w:spacing w:after="0" w:line="240" w:lineRule="auto"/>
        <w:ind w:left="720" w:hanging="36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 xml:space="preserve">1. Adopt UDL principles and goals in the institution’s vision and strategic plan. </w:t>
      </w:r>
    </w:p>
    <w:p w14:paraId="4F23C541" w14:textId="77777777" w:rsidR="001A0D5F" w:rsidRDefault="00C44E11" w:rsidP="001A0D5F">
      <w:pPr>
        <w:spacing w:after="0" w:line="240" w:lineRule="auto"/>
        <w:ind w:left="720" w:hanging="36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2. Define core UDL applications to be implemented institution-wide, along with milestones for measuring success</w:t>
      </w:r>
      <w:r>
        <w:rPr>
          <w:rFonts w:ascii="Times New Roman" w:eastAsiaTheme="majorEastAsia" w:hAnsi="Times New Roman" w:cs="Times New Roman"/>
          <w:bCs/>
          <w:color w:val="000000" w:themeColor="text1"/>
        </w:rPr>
        <w:t xml:space="preserve"> (like the Basic</w:t>
      </w:r>
      <w:r w:rsidRPr="00C44E11">
        <w:rPr>
          <w:rFonts w:ascii="Times New Roman" w:eastAsiaTheme="majorEastAsia" w:hAnsi="Times New Roman" w:cs="Times New Roman"/>
          <w:bCs/>
          <w:color w:val="000000" w:themeColor="text1"/>
        </w:rPr>
        <w:t xml:space="preserve"> Four). </w:t>
      </w:r>
    </w:p>
    <w:p w14:paraId="2A533F62" w14:textId="77777777" w:rsidR="001A0D5F" w:rsidRDefault="00C44E11" w:rsidP="001A0D5F">
      <w:pPr>
        <w:spacing w:after="0" w:line="240" w:lineRule="auto"/>
        <w:ind w:left="720" w:hanging="36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 xml:space="preserve">3. Get campus leaders to direct funding, time, and people toward the development, assessment, growth, and maintenance of core UDL implementations. </w:t>
      </w:r>
    </w:p>
    <w:p w14:paraId="56B3543D" w14:textId="77777777" w:rsidR="001A0D5F" w:rsidRDefault="00C44E11" w:rsidP="001A0D5F">
      <w:pPr>
        <w:spacing w:after="0" w:line="240" w:lineRule="auto"/>
        <w:ind w:left="720" w:hanging="36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 xml:space="preserve">4. Provide options within and beyond campus-wide levels of implementation. </w:t>
      </w:r>
    </w:p>
    <w:p w14:paraId="38B3867F" w14:textId="77777777" w:rsidR="00C44E11" w:rsidRPr="00C44E11" w:rsidRDefault="00C44E11" w:rsidP="001A0D5F">
      <w:pPr>
        <w:spacing w:after="0" w:line="240" w:lineRule="auto"/>
        <w:ind w:left="720" w:hanging="36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5. Create faculty-development programming, staff-development programming, IT-level changes, and media-services enhancements that expand the culture and practices of the entire institution.</w:t>
      </w:r>
    </w:p>
    <w:p w14:paraId="5A3B83E9" w14:textId="77777777" w:rsidR="00C44E11" w:rsidRDefault="00C44E11" w:rsidP="00760528">
      <w:pPr>
        <w:spacing w:after="0" w:line="240" w:lineRule="auto"/>
        <w:rPr>
          <w:rStyle w:val="Heading2Char"/>
          <w:rFonts w:ascii="Times New Roman" w:hAnsi="Times New Roman" w:cs="Times New Roman"/>
          <w:bCs w:val="0"/>
          <w:color w:val="000000" w:themeColor="text1"/>
          <w:sz w:val="22"/>
          <w:szCs w:val="22"/>
        </w:rPr>
      </w:pPr>
    </w:p>
    <w:p w14:paraId="38407050" w14:textId="77777777" w:rsidR="00FF6E79" w:rsidRPr="00FF6E79" w:rsidRDefault="00C6187A" w:rsidP="00760528">
      <w:pPr>
        <w:spacing w:after="0" w:line="240" w:lineRule="auto"/>
        <w:rPr>
          <w:rStyle w:val="Heading2Char"/>
          <w:rFonts w:ascii="Times New Roman" w:hAnsi="Times New Roman" w:cs="Times New Roman"/>
          <w:bCs w:val="0"/>
          <w:color w:val="000000" w:themeColor="text1"/>
          <w:sz w:val="22"/>
          <w:szCs w:val="22"/>
        </w:rPr>
      </w:pPr>
      <w:r>
        <w:rPr>
          <w:rStyle w:val="Heading2Char"/>
          <w:rFonts w:ascii="Times New Roman" w:hAnsi="Times New Roman" w:cs="Times New Roman"/>
          <w:bCs w:val="0"/>
          <w:color w:val="000000" w:themeColor="text1"/>
          <w:sz w:val="22"/>
          <w:szCs w:val="22"/>
        </w:rPr>
        <w:t xml:space="preserve">Part </w:t>
      </w:r>
      <w:r w:rsidR="00FF6E79" w:rsidRPr="00FF6E79">
        <w:rPr>
          <w:rStyle w:val="Heading2Char"/>
          <w:rFonts w:ascii="Times New Roman" w:hAnsi="Times New Roman" w:cs="Times New Roman"/>
          <w:bCs w:val="0"/>
          <w:color w:val="000000" w:themeColor="text1"/>
          <w:sz w:val="22"/>
          <w:szCs w:val="22"/>
        </w:rPr>
        <w:t>3</w:t>
      </w:r>
      <w:r>
        <w:rPr>
          <w:rStyle w:val="Heading2Char"/>
          <w:rFonts w:ascii="Times New Roman" w:hAnsi="Times New Roman" w:cs="Times New Roman"/>
          <w:bCs w:val="0"/>
          <w:color w:val="000000" w:themeColor="text1"/>
          <w:sz w:val="22"/>
          <w:szCs w:val="22"/>
        </w:rPr>
        <w:t>: Scaling Out</w:t>
      </w:r>
    </w:p>
    <w:p w14:paraId="1B2191C5" w14:textId="77777777" w:rsidR="00316BA2" w:rsidRPr="00964826" w:rsidRDefault="00316BA2" w:rsidP="00316BA2">
      <w:pPr>
        <w:spacing w:after="0" w:line="240" w:lineRule="auto"/>
        <w:jc w:val="center"/>
        <w:rPr>
          <w:rFonts w:ascii="Times New Roman" w:hAnsi="Times New Roman" w:cs="Times New Roman"/>
          <w:color w:val="000000" w:themeColor="text1"/>
        </w:rPr>
      </w:pPr>
    </w:p>
    <w:p w14:paraId="71E1EAD6"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Over the years, we’ve had a robust conversation about why accessibility is a noble goal for colleges and </w:t>
      </w:r>
      <w:r>
        <w:rPr>
          <w:rFonts w:ascii="Times New Roman" w:eastAsiaTheme="majorEastAsia" w:hAnsi="Times New Roman" w:cs="Times New Roman"/>
          <w:color w:val="000000" w:themeColor="text1"/>
        </w:rPr>
        <w:t>colleges</w:t>
      </w:r>
      <w:r w:rsidRPr="00ED6A24">
        <w:rPr>
          <w:rFonts w:ascii="Times New Roman" w:eastAsiaTheme="majorEastAsia" w:hAnsi="Times New Roman" w:cs="Times New Roman"/>
          <w:color w:val="000000" w:themeColor="text1"/>
        </w:rPr>
        <w:t xml:space="preserve"> (Ableser &amp; More, 2018). Despite our common challenges of fragmented service silos, unclear compliance definitions, limited human and financial resources, and lack of guidance from campus leadership beyond meeting legal mandates, we would be hard pressed to find anyone who doesn’t think that making content accessible to the broadest possible audience is the right thing to do.</w:t>
      </w:r>
    </w:p>
    <w:p w14:paraId="02FAFD65"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71D7C3A9"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We would also be hard pressed to find many people who are expert in exactly how to make accessibility a reality across campus. Sure, we have laws in place, as well as industry standards and working groups and advocacy efforts. But still, at the end of the day, we also have lawsuits, and our dark secret is that almost none of us feels, deep down, that our institutions are yet fully compliant with the basic legal requirements, let alone ready to say publicly that we are accessible institutions.</w:t>
      </w:r>
    </w:p>
    <w:p w14:paraId="7D7A1E88"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50F24D27"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Campus leaders seem—almost uniformly—to think about instructors and course offerings when they think about accessibility and inclusive design (Borghans &amp; Golsteyn, 2015): how can professors make </w:t>
      </w:r>
      <w:r w:rsidRPr="00ED6A24">
        <w:rPr>
          <w:rFonts w:ascii="Times New Roman" w:eastAsiaTheme="majorEastAsia" w:hAnsi="Times New Roman" w:cs="Times New Roman"/>
          <w:color w:val="000000" w:themeColor="text1"/>
        </w:rPr>
        <w:lastRenderedPageBreak/>
        <w:t>classes more accessible? When presidents and provosts think of other aspects, they invariably add the institution’s web site in terms of video captioning and image alt-tagging (Brown, 2018). This low-hanging fruit encompasses only the maintenance tasks performed by the most powerful accessibility players on campus: the staff.</w:t>
      </w:r>
    </w:p>
    <w:p w14:paraId="7A86B3D8"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1CAE6E24"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IT, library, and academic support units are in the best position to influence how all </w:t>
      </w:r>
      <w:r>
        <w:rPr>
          <w:rFonts w:ascii="Times New Roman" w:eastAsiaTheme="majorEastAsia" w:hAnsi="Times New Roman" w:cs="Times New Roman"/>
          <w:color w:val="000000" w:themeColor="text1"/>
        </w:rPr>
        <w:t>college</w:t>
      </w:r>
      <w:r w:rsidRPr="00ED6A24">
        <w:rPr>
          <w:rFonts w:ascii="Times New Roman" w:eastAsiaTheme="majorEastAsia" w:hAnsi="Times New Roman" w:cs="Times New Roman"/>
          <w:color w:val="000000" w:themeColor="text1"/>
        </w:rPr>
        <w:t xml:space="preserve"> constituents experience systems, processes, content, and tools (Burgstahler &amp; Vinten-Johansen, 2017). We should adopt universal design for learning (UDL) as we design interfaces, procure and purchase staff tools, and support inclusive-design initiatives on our campuses (Bowery &amp; Houston, 2017). We have great language to use in conversations about accessibility (Moriarty, 2018), lofty goals about providing access to education for everyone (Thompson, Jenkins, &amp; Campbell, 2018), and strategy-level milestones to target. But how do we actually do it?</w:t>
      </w:r>
    </w:p>
    <w:p w14:paraId="6AC41A8A"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003B1A92"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The </w:t>
      </w:r>
      <w:r w:rsidR="00C44E11">
        <w:rPr>
          <w:rFonts w:ascii="Times New Roman" w:eastAsiaTheme="majorEastAsia" w:hAnsi="Times New Roman" w:cs="Times New Roman"/>
          <w:color w:val="000000" w:themeColor="text1"/>
        </w:rPr>
        <w:t>ins</w:t>
      </w:r>
      <w:r w:rsidR="006A0683">
        <w:rPr>
          <w:rFonts w:ascii="Times New Roman" w:eastAsiaTheme="majorEastAsia" w:hAnsi="Times New Roman" w:cs="Times New Roman"/>
          <w:color w:val="000000" w:themeColor="text1"/>
        </w:rPr>
        <w:t>titutions</w:t>
      </w:r>
      <w:r w:rsidRPr="00ED6A24">
        <w:rPr>
          <w:rFonts w:ascii="Times New Roman" w:eastAsiaTheme="majorEastAsia" w:hAnsi="Times New Roman" w:cs="Times New Roman"/>
          <w:color w:val="000000" w:themeColor="text1"/>
        </w:rPr>
        <w:t xml:space="preserve"> that are furthest along in their accessibility efforts tend to have staff leaders who share certain practices. They typically chop off the end of the word “accessibility,” focusing their efforts on expanding access, regardless of the ability profiles of their learners. They shift their goals away from making content accessible and look instead at making interactions easier to engage in (Cullen, 2018). And they have largely moved beyond the mental model of universal design (UD) in the physical environment, which is static, bounded, and predictable—instead designing interactions according to UDL, which sees interactions as dynamic, open, and emergent (DeSilva, Nemeroff, &amp; Lopez, 2017).</w:t>
      </w:r>
    </w:p>
    <w:p w14:paraId="7676FEDE"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4E1C94D1"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That’s all advanced-level accessibility, though. What most of us are after are starting points. </w:t>
      </w:r>
    </w:p>
    <w:p w14:paraId="3985FC0E"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Rather than starting with CAST’s neuroscience-based three brain networks and multiple means of engagement, representation, and action and expression, a more manageable starting point is “plus one” thinking (Tobin, 2019). For now, think of the interactions that your student-support operation offers to people, and think of how they might interact in just one more way than happens now.</w:t>
      </w:r>
    </w:p>
    <w:p w14:paraId="64236EAA"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3E5957D5"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This </w:t>
      </w:r>
      <w:r w:rsidR="006A0683">
        <w:rPr>
          <w:rFonts w:ascii="Times New Roman" w:eastAsiaTheme="majorEastAsia" w:hAnsi="Times New Roman" w:cs="Times New Roman"/>
          <w:color w:val="000000" w:themeColor="text1"/>
        </w:rPr>
        <w:t xml:space="preserve">section of our </w:t>
      </w:r>
      <w:r w:rsidR="002A1208">
        <w:rPr>
          <w:rFonts w:ascii="Times New Roman" w:eastAsiaTheme="majorEastAsia" w:hAnsi="Times New Roman" w:cs="Times New Roman"/>
          <w:color w:val="000000" w:themeColor="text1"/>
        </w:rPr>
        <w:t>session</w:t>
      </w:r>
      <w:r w:rsidRPr="00ED6A24">
        <w:rPr>
          <w:rFonts w:ascii="Times New Roman" w:eastAsiaTheme="majorEastAsia" w:hAnsi="Times New Roman" w:cs="Times New Roman"/>
          <w:color w:val="000000" w:themeColor="text1"/>
        </w:rPr>
        <w:t xml:space="preserve"> will take the format of a guided-practice presentation, with open idea gathering and experience documentation, information sharing among the facilitator and participants, and </w:t>
      </w:r>
      <w:r w:rsidR="006A0683">
        <w:rPr>
          <w:rFonts w:ascii="Times New Roman" w:eastAsiaTheme="majorEastAsia" w:hAnsi="Times New Roman" w:cs="Times New Roman"/>
          <w:color w:val="000000" w:themeColor="text1"/>
        </w:rPr>
        <w:t>then planning and take-aways about how to frame UDL for peer audiences.</w:t>
      </w:r>
    </w:p>
    <w:p w14:paraId="048B6BB0" w14:textId="77777777" w:rsidR="00ED6A24" w:rsidRPr="00ED6A24" w:rsidRDefault="00ED6A24" w:rsidP="00ED6A24">
      <w:pPr>
        <w:spacing w:after="0" w:line="240" w:lineRule="auto"/>
        <w:rPr>
          <w:rFonts w:ascii="Times New Roman" w:eastAsiaTheme="majorEastAsia" w:hAnsi="Times New Roman" w:cs="Times New Roman"/>
          <w:color w:val="000000" w:themeColor="text1"/>
        </w:rPr>
      </w:pPr>
    </w:p>
    <w:p w14:paraId="73AEE23A" w14:textId="77777777" w:rsidR="00316BA2" w:rsidRDefault="00ED6A24" w:rsidP="006F2815">
      <w:pPr>
        <w:spacing w:after="0" w:line="240" w:lineRule="auto"/>
        <w:rPr>
          <w:rFonts w:ascii="Times New Roman" w:eastAsiaTheme="majorEastAsia" w:hAnsi="Times New Roman" w:cs="Times New Roman"/>
          <w:color w:val="000000" w:themeColor="text1"/>
        </w:rPr>
      </w:pPr>
      <w:r w:rsidRPr="00ED6A24">
        <w:rPr>
          <w:rFonts w:ascii="Times New Roman" w:eastAsiaTheme="majorEastAsia" w:hAnsi="Times New Roman" w:cs="Times New Roman"/>
          <w:color w:val="000000" w:themeColor="text1"/>
        </w:rPr>
        <w:t xml:space="preserve">This </w:t>
      </w:r>
      <w:r w:rsidR="002A1208">
        <w:rPr>
          <w:rFonts w:ascii="Times New Roman" w:eastAsiaTheme="majorEastAsia" w:hAnsi="Times New Roman" w:cs="Times New Roman"/>
          <w:color w:val="000000" w:themeColor="text1"/>
        </w:rPr>
        <w:t>session</w:t>
      </w:r>
      <w:r w:rsidRPr="00ED6A24">
        <w:rPr>
          <w:rFonts w:ascii="Times New Roman" w:eastAsiaTheme="majorEastAsia" w:hAnsi="Times New Roman" w:cs="Times New Roman"/>
          <w:color w:val="000000" w:themeColor="text1"/>
        </w:rPr>
        <w:t xml:space="preserve"> will provide multiple ways to keep participants engaged (solo, collaborative, and interactive), multiple ways to present information (slide visuals, video sharing, text-chat, spoken audio), and multiple ways to join the conversation and show skills (video, text chat, self-guided reflection). We will use active-learning techniques and provide use-them-now resources for participants. Especially by relating UDL to broader access benefits for all learners, this </w:t>
      </w:r>
      <w:r w:rsidR="002A1208">
        <w:rPr>
          <w:rFonts w:ascii="Times New Roman" w:eastAsiaTheme="majorEastAsia" w:hAnsi="Times New Roman" w:cs="Times New Roman"/>
          <w:color w:val="000000" w:themeColor="text1"/>
        </w:rPr>
        <w:t>session</w:t>
      </w:r>
      <w:r w:rsidR="006A0683">
        <w:rPr>
          <w:rFonts w:ascii="Times New Roman" w:eastAsiaTheme="majorEastAsia" w:hAnsi="Times New Roman" w:cs="Times New Roman"/>
          <w:color w:val="000000" w:themeColor="text1"/>
        </w:rPr>
        <w:t xml:space="preserve"> section</w:t>
      </w:r>
      <w:r w:rsidRPr="00ED6A24">
        <w:rPr>
          <w:rFonts w:ascii="Times New Roman" w:eastAsiaTheme="majorEastAsia" w:hAnsi="Times New Roman" w:cs="Times New Roman"/>
          <w:color w:val="000000" w:themeColor="text1"/>
        </w:rPr>
        <w:t xml:space="preserve">’s activities serve as a model for participants to re-frame accessibility and inclusion conversations. </w:t>
      </w:r>
    </w:p>
    <w:p w14:paraId="1729BA1E" w14:textId="77777777" w:rsidR="006A0683" w:rsidRDefault="006A0683" w:rsidP="006F2815">
      <w:pPr>
        <w:spacing w:after="0" w:line="240" w:lineRule="auto"/>
        <w:rPr>
          <w:rFonts w:ascii="Times New Roman" w:eastAsiaTheme="majorEastAsia" w:hAnsi="Times New Roman" w:cs="Times New Roman"/>
          <w:color w:val="000000" w:themeColor="text1"/>
        </w:rPr>
      </w:pPr>
    </w:p>
    <w:p w14:paraId="36D5CBDE" w14:textId="77777777" w:rsidR="006A0683" w:rsidRDefault="006A0683" w:rsidP="006A0683">
      <w:pPr>
        <w:spacing w:after="0" w:line="240" w:lineRule="auto"/>
        <w:rPr>
          <w:rFonts w:ascii="Times New Roman" w:eastAsiaTheme="majorEastAsia" w:hAnsi="Times New Roman" w:cs="Times New Roman"/>
          <w:color w:val="000000" w:themeColor="text1"/>
        </w:rPr>
      </w:pPr>
      <w:r w:rsidRPr="00316BA2">
        <w:rPr>
          <w:rFonts w:ascii="Times New Roman" w:eastAsiaTheme="majorEastAsia" w:hAnsi="Times New Roman" w:cs="Times New Roman"/>
          <w:color w:val="000000" w:themeColor="text1"/>
        </w:rPr>
        <w:t xml:space="preserve">You will leave our </w:t>
      </w:r>
      <w:r w:rsidR="002A1208">
        <w:rPr>
          <w:rFonts w:ascii="Times New Roman" w:eastAsiaTheme="majorEastAsia" w:hAnsi="Times New Roman" w:cs="Times New Roman"/>
          <w:color w:val="000000" w:themeColor="text1"/>
        </w:rPr>
        <w:t>session</w:t>
      </w:r>
      <w:r w:rsidRPr="00316BA2">
        <w:rPr>
          <w:rFonts w:ascii="Times New Roman" w:eastAsiaTheme="majorEastAsia" w:hAnsi="Times New Roman" w:cs="Times New Roman"/>
          <w:color w:val="000000" w:themeColor="text1"/>
        </w:rPr>
        <w:t xml:space="preserve"> with practical, hands-on strategies for expanding access to learning and increasing your chance of success in the classroom—an outcome for which we have 30 years of evidence-based practice and research (Fonosch &amp; Schwab, 1981; Fichten, 1986; Nelson et al., 1990; </w:t>
      </w:r>
      <w:r w:rsidRPr="00316BA2">
        <w:rPr>
          <w:rFonts w:ascii="Times New Roman" w:eastAsiaTheme="majorEastAsia" w:hAnsi="Times New Roman" w:cs="Times New Roman"/>
          <w:bCs/>
          <w:color w:val="000000" w:themeColor="text1"/>
        </w:rPr>
        <w:t xml:space="preserve">Houck et al.,1992; </w:t>
      </w:r>
      <w:r w:rsidRPr="00316BA2">
        <w:rPr>
          <w:rFonts w:ascii="Times New Roman" w:eastAsiaTheme="majorEastAsia" w:hAnsi="Times New Roman" w:cs="Times New Roman"/>
          <w:color w:val="000000" w:themeColor="text1"/>
        </w:rPr>
        <w:t>Bento, 1996; Benham, 1997; Bigaj et al., 1999; Cook et al., 2009; Murray et al., 2009; Zhang et al., 2010; Lombardi &amp; Murray, 2011; Murray et al., 2011).</w:t>
      </w:r>
    </w:p>
    <w:p w14:paraId="42FADB9D" w14:textId="77777777" w:rsidR="00316BA2" w:rsidRDefault="00316BA2" w:rsidP="00316BA2">
      <w:pPr>
        <w:spacing w:after="0" w:line="240" w:lineRule="auto"/>
        <w:rPr>
          <w:rFonts w:ascii="Times New Roman" w:eastAsiaTheme="majorEastAsia" w:hAnsi="Times New Roman" w:cs="Times New Roman"/>
          <w:color w:val="000000" w:themeColor="text1"/>
        </w:rPr>
      </w:pPr>
    </w:p>
    <w:p w14:paraId="2CC7F951" w14:textId="77777777" w:rsidR="00316BA2" w:rsidRPr="00316BA2" w:rsidRDefault="00316BA2" w:rsidP="00316BA2">
      <w:pPr>
        <w:pStyle w:val="Heading3"/>
        <w:spacing w:before="0" w:line="240" w:lineRule="auto"/>
        <w:rPr>
          <w:rFonts w:ascii="Times New Roman" w:hAnsi="Times New Roman" w:cs="Times New Roman"/>
          <w:color w:val="000000" w:themeColor="text1"/>
        </w:rPr>
      </w:pPr>
      <w:r w:rsidRPr="00316BA2">
        <w:rPr>
          <w:rFonts w:ascii="Times New Roman" w:hAnsi="Times New Roman" w:cs="Times New Roman"/>
          <w:color w:val="000000" w:themeColor="text1"/>
        </w:rPr>
        <w:t>References</w:t>
      </w:r>
    </w:p>
    <w:p w14:paraId="0EB465C1" w14:textId="77777777" w:rsidR="00316BA2" w:rsidRPr="00316BA2" w:rsidRDefault="00316BA2" w:rsidP="00316BA2">
      <w:pPr>
        <w:spacing w:after="0" w:line="240" w:lineRule="auto"/>
        <w:rPr>
          <w:rFonts w:ascii="Times New Roman" w:eastAsiaTheme="majorEastAsia" w:hAnsi="Times New Roman" w:cs="Times New Roman"/>
          <w:bCs/>
          <w:color w:val="000000" w:themeColor="text1"/>
        </w:rPr>
      </w:pPr>
    </w:p>
    <w:p w14:paraId="39B061F9"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Ableser, J. &amp; Moore, C. (2018, September 10). Universal design for learning and digital accessibility: Compatible partners or a conflicted marriage?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https://er.educause.edu/articles/2018/9/universal-design-for-learning-and-digital-accessibility-compatible-partners-or-a-conflicted-marriage.</w:t>
      </w:r>
    </w:p>
    <w:p w14:paraId="3EAB6486"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lastRenderedPageBreak/>
        <w:t>Ableser, J</w:t>
      </w:r>
      <w:r w:rsidRPr="00C44E11">
        <w:rPr>
          <w:rFonts w:ascii="Times New Roman" w:eastAsiaTheme="majorEastAsia" w:hAnsi="Times New Roman" w:cs="Times New Roman"/>
          <w:color w:val="000000" w:themeColor="text1"/>
        </w:rPr>
        <w:t xml:space="preserve">. (2019). </w:t>
      </w:r>
      <w:r w:rsidRPr="00C44E11">
        <w:rPr>
          <w:rFonts w:ascii="Times New Roman" w:eastAsiaTheme="majorEastAsia" w:hAnsi="Times New Roman" w:cs="Times New Roman"/>
          <w:i/>
          <w:iCs/>
          <w:color w:val="000000" w:themeColor="text1"/>
        </w:rPr>
        <w:t>OU Teaching Initiatives</w:t>
      </w:r>
      <w:r w:rsidRPr="00C44E11">
        <w:rPr>
          <w:rFonts w:ascii="Times New Roman" w:eastAsiaTheme="majorEastAsia" w:hAnsi="Times New Roman" w:cs="Times New Roman"/>
          <w:color w:val="000000" w:themeColor="text1"/>
        </w:rPr>
        <w:t>. Oakland University. https://www.oakland.edu/cetl/ou-teaching-initiatives/.</w:t>
      </w:r>
    </w:p>
    <w:p w14:paraId="503C4511" w14:textId="77777777" w:rsidR="002A1208" w:rsidRDefault="002A1208" w:rsidP="006F2815">
      <w:pPr>
        <w:spacing w:after="0" w:line="240" w:lineRule="auto"/>
        <w:ind w:left="720" w:hanging="720"/>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rPr>
        <w:t>Australian Gover</w:t>
      </w:r>
      <w:r w:rsidR="001A0D5F">
        <w:rPr>
          <w:rFonts w:ascii="Times New Roman" w:eastAsiaTheme="majorEastAsia" w:hAnsi="Times New Roman" w:cs="Times New Roman"/>
          <w:bCs/>
          <w:color w:val="000000" w:themeColor="text1"/>
        </w:rPr>
        <w:t>nm</w:t>
      </w:r>
      <w:r>
        <w:rPr>
          <w:rFonts w:ascii="Times New Roman" w:eastAsiaTheme="majorEastAsia" w:hAnsi="Times New Roman" w:cs="Times New Roman"/>
          <w:bCs/>
          <w:color w:val="000000" w:themeColor="text1"/>
        </w:rPr>
        <w:t xml:space="preserve">ent. (2023). </w:t>
      </w:r>
      <w:r w:rsidRPr="001A0D5F">
        <w:rPr>
          <w:rFonts w:ascii="Times New Roman" w:eastAsiaTheme="majorEastAsia" w:hAnsi="Times New Roman" w:cs="Times New Roman"/>
          <w:bCs/>
          <w:i/>
          <w:color w:val="000000" w:themeColor="text1"/>
        </w:rPr>
        <w:t>Australian Universities</w:t>
      </w:r>
      <w:r w:rsidR="001A0D5F" w:rsidRPr="001A0D5F">
        <w:rPr>
          <w:rFonts w:ascii="Times New Roman" w:eastAsiaTheme="majorEastAsia" w:hAnsi="Times New Roman" w:cs="Times New Roman"/>
          <w:bCs/>
          <w:i/>
          <w:color w:val="000000" w:themeColor="text1"/>
        </w:rPr>
        <w:t xml:space="preserve"> Accord: Interim Report</w:t>
      </w:r>
      <w:r w:rsidR="001A0D5F">
        <w:rPr>
          <w:rFonts w:ascii="Times New Roman" w:eastAsiaTheme="majorEastAsia" w:hAnsi="Times New Roman" w:cs="Times New Roman"/>
          <w:bCs/>
          <w:color w:val="000000" w:themeColor="text1"/>
        </w:rPr>
        <w:t xml:space="preserve">. </w:t>
      </w:r>
      <w:r w:rsidR="001A0D5F" w:rsidRPr="001A0D5F">
        <w:rPr>
          <w:rFonts w:ascii="Times New Roman" w:eastAsiaTheme="majorEastAsia" w:hAnsi="Times New Roman" w:cs="Times New Roman"/>
          <w:bCs/>
          <w:color w:val="000000" w:themeColor="text1"/>
        </w:rPr>
        <w:t>https://www.education.gov.au/download/16699/australian-universities-accord-interim-report/33941/document/pdf</w:t>
      </w:r>
      <w:r w:rsidR="001A0D5F">
        <w:rPr>
          <w:rFonts w:ascii="Times New Roman" w:eastAsiaTheme="majorEastAsia" w:hAnsi="Times New Roman" w:cs="Times New Roman"/>
          <w:bCs/>
          <w:color w:val="000000" w:themeColor="text1"/>
        </w:rPr>
        <w:t>.</w:t>
      </w:r>
    </w:p>
    <w:p w14:paraId="33327598"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Benham, N. E. (1997). Faculty members attitudes and knowledge regarding specific disabilities and the Americans with Disabilities Act. </w:t>
      </w:r>
      <w:r w:rsidRPr="006F2815">
        <w:rPr>
          <w:rFonts w:ascii="Times New Roman" w:eastAsiaTheme="majorEastAsia" w:hAnsi="Times New Roman" w:cs="Times New Roman"/>
          <w:bCs/>
          <w:i/>
          <w:color w:val="000000" w:themeColor="text1"/>
        </w:rPr>
        <w:t>College Student Journal</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31</w:t>
      </w:r>
      <w:r w:rsidRPr="006F2815">
        <w:rPr>
          <w:rFonts w:ascii="Times New Roman" w:eastAsiaTheme="majorEastAsia" w:hAnsi="Times New Roman" w:cs="Times New Roman"/>
          <w:bCs/>
          <w:color w:val="000000" w:themeColor="text1"/>
        </w:rPr>
        <w:t>, 124-129.</w:t>
      </w:r>
    </w:p>
    <w:p w14:paraId="31D60895"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Bento, R. F. (1996). Faculty members decision-making about “reasonable accommodations” for disabled college students. </w:t>
      </w:r>
      <w:r w:rsidRPr="006F2815">
        <w:rPr>
          <w:rFonts w:ascii="Times New Roman" w:eastAsiaTheme="majorEastAsia" w:hAnsi="Times New Roman" w:cs="Times New Roman"/>
          <w:bCs/>
          <w:i/>
          <w:color w:val="000000" w:themeColor="text1"/>
        </w:rPr>
        <w:t>College Student Journal</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30</w:t>
      </w:r>
      <w:r w:rsidRPr="006F2815">
        <w:rPr>
          <w:rFonts w:ascii="Times New Roman" w:eastAsiaTheme="majorEastAsia" w:hAnsi="Times New Roman" w:cs="Times New Roman"/>
          <w:bCs/>
          <w:color w:val="000000" w:themeColor="text1"/>
        </w:rPr>
        <w:t>(4), 494.</w:t>
      </w:r>
    </w:p>
    <w:p w14:paraId="7B141717"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Bigaj, S. J., Shaw, S. F., and McGuire, J. M. (1999). Community-technical college faculty members willingness to use and self-reported use of accommodation strategies for students with learning disabilities. </w:t>
      </w:r>
      <w:r w:rsidRPr="006F2815">
        <w:rPr>
          <w:rFonts w:ascii="Times New Roman" w:eastAsiaTheme="majorEastAsia" w:hAnsi="Times New Roman" w:cs="Times New Roman"/>
          <w:bCs/>
          <w:i/>
          <w:color w:val="000000" w:themeColor="text1"/>
        </w:rPr>
        <w:t>Journal for Vocational Special Needs Education</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21</w:t>
      </w:r>
      <w:r w:rsidRPr="006F2815">
        <w:rPr>
          <w:rFonts w:ascii="Times New Roman" w:eastAsiaTheme="majorEastAsia" w:hAnsi="Times New Roman" w:cs="Times New Roman"/>
          <w:bCs/>
          <w:color w:val="000000" w:themeColor="text1"/>
        </w:rPr>
        <w:t>(2), 3-14.</w:t>
      </w:r>
    </w:p>
    <w:p w14:paraId="4CC6BAD3"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Borghans, L. &amp; Golsteyn, B. H. H. (2015). Susceptibility to default training options across the population. Institute for the Study of Labor (IZA) Discussion Paper 9180. http://ftp.iza.org/dp9180.pdf.</w:t>
      </w:r>
    </w:p>
    <w:p w14:paraId="7EFA1906"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Bowery, R. &amp; Houston, L. (2017, December 4). Reaching All Learners by Leveraging Universal Design for Learning in Online Courses.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https://er.educause.edu/articles/2017/12/reaching-all-learners-by-leveraging-universal-design-for-learning-in-online-courses.</w:t>
      </w:r>
    </w:p>
    <w:p w14:paraId="5B9EFC5B"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Brown, W. (2018). The Chief Information Officer in Higher Education, 2018 Report. EDUCAUSE Center for Analysis and Research (ECAR) Research Reports. https://library.educause.edu/resources/2018/12/the-chief-information-officer-in-higher-education-2018-report.</w:t>
      </w:r>
    </w:p>
    <w:p w14:paraId="7D440E97"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Burgstahler, S., &amp; Vinten-Johansen, C. (2017). Seven steps toward IT accessibility compliance.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https://er.educause.edu/articles/2017/9/seven-steps-toward-it-accessibility-compliance.</w:t>
      </w:r>
    </w:p>
    <w:p w14:paraId="36F0A766" w14:textId="77777777" w:rsidR="00C44E11" w:rsidRPr="00C44E11" w:rsidRDefault="00C44E11" w:rsidP="00C44E11">
      <w:pPr>
        <w:spacing w:after="0" w:line="240" w:lineRule="auto"/>
        <w:ind w:left="720" w:hanging="720"/>
        <w:rPr>
          <w:rFonts w:ascii="Times New Roman" w:eastAsiaTheme="majorEastAsia" w:hAnsi="Times New Roman" w:cs="Times New Roman"/>
          <w:bCs/>
          <w:color w:val="000000" w:themeColor="text1"/>
        </w:rPr>
      </w:pPr>
      <w:r w:rsidRPr="00C44E11">
        <w:rPr>
          <w:rFonts w:ascii="Times New Roman" w:eastAsiaTheme="majorEastAsia" w:hAnsi="Times New Roman" w:cs="Times New Roman"/>
          <w:bCs/>
          <w:color w:val="000000" w:themeColor="text1"/>
        </w:rPr>
        <w:t>[Cameron, J.] (2016). The basic four of accessibility. Kennesaw State University. https://accessibility.kennesaw.edu/basic_accessibility_solutions/basic_four.php.</w:t>
      </w:r>
    </w:p>
    <w:p w14:paraId="4952C74D" w14:textId="77777777" w:rsidR="00C44E11" w:rsidRPr="00316BA2" w:rsidRDefault="00C44E11" w:rsidP="00316BA2">
      <w:pPr>
        <w:spacing w:after="0" w:line="240" w:lineRule="auto"/>
        <w:ind w:left="720" w:hanging="720"/>
        <w:rPr>
          <w:rFonts w:ascii="Times New Roman" w:eastAsiaTheme="majorEastAsia" w:hAnsi="Times New Roman" w:cs="Times New Roman"/>
          <w:bCs/>
          <w:color w:val="000000" w:themeColor="text1"/>
        </w:rPr>
      </w:pPr>
      <w:r w:rsidRPr="00316BA2">
        <w:rPr>
          <w:rFonts w:ascii="Times New Roman" w:eastAsiaTheme="majorEastAsia" w:hAnsi="Times New Roman" w:cs="Times New Roman"/>
          <w:bCs/>
          <w:color w:val="000000" w:themeColor="text1"/>
        </w:rPr>
        <w:t xml:space="preserve">CAST. (2014). UDL on campus: Universal design for learning in higher education—a guide. </w:t>
      </w:r>
      <w:r w:rsidRPr="00C44E11">
        <w:rPr>
          <w:rFonts w:ascii="Times New Roman" w:eastAsiaTheme="majorEastAsia" w:hAnsi="Times New Roman" w:cs="Times New Roman"/>
          <w:bCs/>
        </w:rPr>
        <w:t>http://udloncampus.cast.org</w:t>
      </w:r>
      <w:r w:rsidRPr="00316BA2">
        <w:rPr>
          <w:rFonts w:ascii="Times New Roman" w:eastAsiaTheme="majorEastAsia" w:hAnsi="Times New Roman" w:cs="Times New Roman"/>
          <w:bCs/>
          <w:color w:val="000000" w:themeColor="text1"/>
        </w:rPr>
        <w:t>.</w:t>
      </w:r>
    </w:p>
    <w:p w14:paraId="07B4A73F" w14:textId="77777777" w:rsidR="00C6187A" w:rsidRDefault="00C6187A"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CAST. (2024). The UDL Guidelines. Version 3.0. </w:t>
      </w:r>
      <w:r w:rsidRPr="00C6187A">
        <w:rPr>
          <w:rFonts w:ascii="Times New Roman" w:eastAsiaTheme="majorEastAsia" w:hAnsi="Times New Roman" w:cs="Times New Roman"/>
          <w:color w:val="000000" w:themeColor="text1"/>
        </w:rPr>
        <w:t>https://udlguidelines.cast.org/</w:t>
      </w:r>
      <w:r>
        <w:rPr>
          <w:rFonts w:ascii="Times New Roman" w:eastAsiaTheme="majorEastAsia" w:hAnsi="Times New Roman" w:cs="Times New Roman"/>
          <w:color w:val="000000" w:themeColor="text1"/>
        </w:rPr>
        <w:t>.</w:t>
      </w:r>
    </w:p>
    <w:p w14:paraId="3880E04C"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sidRPr="00C44E11">
        <w:rPr>
          <w:rFonts w:ascii="Times New Roman" w:eastAsiaTheme="majorEastAsia" w:hAnsi="Times New Roman" w:cs="Times New Roman"/>
          <w:color w:val="000000" w:themeColor="text1"/>
        </w:rPr>
        <w:t xml:space="preserve">Center for Teaching Excellence. (2020). </w:t>
      </w:r>
      <w:r w:rsidRPr="00C44E11">
        <w:rPr>
          <w:rFonts w:ascii="Times New Roman" w:eastAsiaTheme="majorEastAsia" w:hAnsi="Times New Roman" w:cs="Times New Roman"/>
          <w:i/>
          <w:iCs/>
          <w:color w:val="000000" w:themeColor="text1"/>
        </w:rPr>
        <w:t>Universal Design for Learning</w:t>
      </w:r>
      <w:r w:rsidRPr="00C44E11">
        <w:rPr>
          <w:rFonts w:ascii="Times New Roman" w:eastAsiaTheme="majorEastAsia" w:hAnsi="Times New Roman" w:cs="Times New Roman"/>
          <w:color w:val="000000" w:themeColor="text1"/>
        </w:rPr>
        <w:t>. Boston College. https://cteresources.bc.edu/documentation/universal-design-for-learning/.</w:t>
      </w:r>
    </w:p>
    <w:p w14:paraId="4329973B" w14:textId="77777777" w:rsidR="00C44E11" w:rsidRPr="00316BA2" w:rsidRDefault="00C44E11" w:rsidP="00316BA2">
      <w:pPr>
        <w:spacing w:after="0" w:line="240" w:lineRule="auto"/>
        <w:ind w:left="720" w:hanging="720"/>
        <w:rPr>
          <w:rFonts w:ascii="Times New Roman" w:eastAsiaTheme="majorEastAsia" w:hAnsi="Times New Roman" w:cs="Times New Roman"/>
          <w:color w:val="000000" w:themeColor="text1"/>
        </w:rPr>
      </w:pPr>
      <w:r w:rsidRPr="00316BA2">
        <w:rPr>
          <w:rFonts w:ascii="Times New Roman" w:eastAsiaTheme="majorEastAsia" w:hAnsi="Times New Roman" w:cs="Times New Roman"/>
          <w:color w:val="000000" w:themeColor="text1"/>
        </w:rPr>
        <w:t xml:space="preserve">Cook, L., Rumrill, P. D., and Tankersley, M. (2009). Priorities and understanding of faculty members regarding college students with disabilities. </w:t>
      </w:r>
      <w:r w:rsidRPr="00316BA2">
        <w:rPr>
          <w:rFonts w:ascii="Times New Roman" w:eastAsiaTheme="majorEastAsia" w:hAnsi="Times New Roman" w:cs="Times New Roman"/>
          <w:i/>
          <w:color w:val="000000" w:themeColor="text1"/>
        </w:rPr>
        <w:t>International Journal of Teaching and Learning in Higher Education</w:t>
      </w:r>
      <w:r w:rsidRPr="00316BA2">
        <w:rPr>
          <w:rFonts w:ascii="Times New Roman" w:eastAsiaTheme="majorEastAsia" w:hAnsi="Times New Roman" w:cs="Times New Roman"/>
          <w:color w:val="000000" w:themeColor="text1"/>
        </w:rPr>
        <w:t xml:space="preserve">, </w:t>
      </w:r>
      <w:r w:rsidRPr="00316BA2">
        <w:rPr>
          <w:rFonts w:ascii="Times New Roman" w:eastAsiaTheme="majorEastAsia" w:hAnsi="Times New Roman" w:cs="Times New Roman"/>
          <w:i/>
          <w:iCs/>
          <w:color w:val="000000" w:themeColor="text1"/>
        </w:rPr>
        <w:t>21</w:t>
      </w:r>
      <w:r w:rsidRPr="00316BA2">
        <w:rPr>
          <w:rFonts w:ascii="Times New Roman" w:eastAsiaTheme="majorEastAsia" w:hAnsi="Times New Roman" w:cs="Times New Roman"/>
          <w:color w:val="000000" w:themeColor="text1"/>
        </w:rPr>
        <w:t>(1), 84-96.</w:t>
      </w:r>
    </w:p>
    <w:p w14:paraId="2D9B812F"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Cullen, S. (2018). Accessibility: A shared campus responsibility best accomplished with executive support.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https://er.educause.edu/articles/2018/1/accessibility-a-shared-campus-responsibility-best-accomplished-with-executive-support.</w:t>
      </w:r>
    </w:p>
    <w:p w14:paraId="41B7BE3E"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DeSilva, E., Nemeroff, A., &amp; Lopez, P. (2017, December 4). Igniting a universal design mindset on campus.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https://er.educause.edu/articles/2017/12/igniting-a-universal-design-mindset-on-campus.</w:t>
      </w:r>
    </w:p>
    <w:p w14:paraId="410A2604"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DeSilva, E</w:t>
      </w:r>
      <w:r w:rsidRPr="00C44E11">
        <w:rPr>
          <w:rFonts w:ascii="Times New Roman" w:eastAsiaTheme="majorEastAsia" w:hAnsi="Times New Roman" w:cs="Times New Roman"/>
          <w:color w:val="000000" w:themeColor="text1"/>
        </w:rPr>
        <w:t xml:space="preserve">. (2017). </w:t>
      </w:r>
      <w:r w:rsidRPr="00C44E11">
        <w:rPr>
          <w:rFonts w:ascii="Times New Roman" w:eastAsiaTheme="majorEastAsia" w:hAnsi="Times New Roman" w:cs="Times New Roman"/>
          <w:i/>
          <w:iCs/>
          <w:color w:val="000000" w:themeColor="text1"/>
        </w:rPr>
        <w:t>Access First! Igniting a Campus-wide Universal Design Mindset</w:t>
      </w:r>
      <w:r w:rsidRPr="00C44E11">
        <w:rPr>
          <w:rFonts w:ascii="Times New Roman" w:eastAsiaTheme="majorEastAsia" w:hAnsi="Times New Roman" w:cs="Times New Roman"/>
          <w:color w:val="000000" w:themeColor="text1"/>
        </w:rPr>
        <w:t>. Learning Design at Dartmouth. https://sites.dartmouth.edu/edtech/2017/02/01/resources-on-universal-design/.</w:t>
      </w:r>
    </w:p>
    <w:p w14:paraId="3D614AF5"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DO-IT (Disabilities, Opportunities, Internetworking, and Technology). (2015). Applications of universal design in postsecondary education. Center for Universal Design in Education. University of Washington.  </w:t>
      </w:r>
      <w:r w:rsidRPr="00C44E11">
        <w:rPr>
          <w:rFonts w:ascii="Times New Roman" w:eastAsiaTheme="majorEastAsia" w:hAnsi="Times New Roman" w:cs="Times New Roman"/>
          <w:bCs/>
        </w:rPr>
        <w:t>http://www.washington.edu/doit/programs/center-universal-design-education/applications-universal-design-postsecondary-education</w:t>
      </w:r>
      <w:r w:rsidRPr="006F2815">
        <w:rPr>
          <w:rFonts w:ascii="Times New Roman" w:eastAsiaTheme="majorEastAsia" w:hAnsi="Times New Roman" w:cs="Times New Roman"/>
          <w:bCs/>
          <w:color w:val="000000" w:themeColor="text1"/>
        </w:rPr>
        <w:t>.</w:t>
      </w:r>
    </w:p>
    <w:p w14:paraId="58857B3C"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Fichten, C. S. (1986). Self, other, and situation-referent automatic thoughts: Interaction between people who have a physical disability and those who do not. </w:t>
      </w:r>
      <w:r w:rsidRPr="006F2815">
        <w:rPr>
          <w:rFonts w:ascii="Times New Roman" w:eastAsiaTheme="majorEastAsia" w:hAnsi="Times New Roman" w:cs="Times New Roman"/>
          <w:i/>
          <w:iCs/>
          <w:color w:val="000000" w:themeColor="text1"/>
        </w:rPr>
        <w:t>Cognitive Therapy and Research</w:t>
      </w:r>
      <w:r w:rsidRPr="006F2815">
        <w:rPr>
          <w:rFonts w:ascii="Times New Roman" w:eastAsiaTheme="majorEastAsia" w:hAnsi="Times New Roman" w:cs="Times New Roman"/>
          <w:color w:val="000000" w:themeColor="text1"/>
        </w:rPr>
        <w:t xml:space="preserve">, </w:t>
      </w:r>
      <w:r w:rsidRPr="006F2815">
        <w:rPr>
          <w:rFonts w:ascii="Times New Roman" w:eastAsiaTheme="majorEastAsia" w:hAnsi="Times New Roman" w:cs="Times New Roman"/>
          <w:i/>
          <w:iCs/>
          <w:color w:val="000000" w:themeColor="text1"/>
        </w:rPr>
        <w:t>10</w:t>
      </w:r>
      <w:r w:rsidRPr="006F2815">
        <w:rPr>
          <w:rFonts w:ascii="Times New Roman" w:eastAsiaTheme="majorEastAsia" w:hAnsi="Times New Roman" w:cs="Times New Roman"/>
          <w:color w:val="000000" w:themeColor="text1"/>
        </w:rPr>
        <w:t>(5), 571-587.</w:t>
      </w:r>
    </w:p>
    <w:p w14:paraId="13D58BA9"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lastRenderedPageBreak/>
        <w:t xml:space="preserve">Fonosch, G. and Schwab, L. O. (1981). Attitudes of selected university faculty members toward disabled students. </w:t>
      </w:r>
      <w:r w:rsidRPr="006F2815">
        <w:rPr>
          <w:rFonts w:ascii="Times New Roman" w:eastAsiaTheme="majorEastAsia" w:hAnsi="Times New Roman" w:cs="Times New Roman"/>
          <w:bCs/>
          <w:i/>
          <w:color w:val="000000" w:themeColor="text1"/>
        </w:rPr>
        <w:t>Journal of College Student Personnel</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22</w:t>
      </w:r>
      <w:r w:rsidRPr="006F2815">
        <w:rPr>
          <w:rFonts w:ascii="Times New Roman" w:eastAsiaTheme="majorEastAsia" w:hAnsi="Times New Roman" w:cs="Times New Roman"/>
          <w:bCs/>
          <w:color w:val="000000" w:themeColor="text1"/>
        </w:rPr>
        <w:t>(3), 229-235.</w:t>
      </w:r>
    </w:p>
    <w:p w14:paraId="025B843A" w14:textId="77777777" w:rsidR="00C44E11" w:rsidRPr="00316BA2" w:rsidRDefault="00C44E11" w:rsidP="00316BA2">
      <w:pPr>
        <w:spacing w:after="0" w:line="240" w:lineRule="auto"/>
        <w:ind w:left="720" w:hanging="720"/>
        <w:rPr>
          <w:rFonts w:ascii="Times New Roman" w:eastAsiaTheme="majorEastAsia" w:hAnsi="Times New Roman" w:cs="Times New Roman"/>
          <w:bCs/>
          <w:color w:val="000000" w:themeColor="text1"/>
        </w:rPr>
      </w:pPr>
      <w:r w:rsidRPr="00316BA2">
        <w:rPr>
          <w:rFonts w:ascii="Times New Roman" w:eastAsiaTheme="majorEastAsia" w:hAnsi="Times New Roman" w:cs="Times New Roman"/>
          <w:bCs/>
          <w:color w:val="000000" w:themeColor="text1"/>
        </w:rPr>
        <w:t xml:space="preserve">Houck, C. K., Asselin, S. B., Troutman, G. C., and Arrington, J. M. (1992). Students with learning disabilities in the </w:t>
      </w:r>
      <w:r>
        <w:rPr>
          <w:rFonts w:ascii="Times New Roman" w:eastAsiaTheme="majorEastAsia" w:hAnsi="Times New Roman" w:cs="Times New Roman"/>
          <w:bCs/>
          <w:color w:val="000000" w:themeColor="text1"/>
        </w:rPr>
        <w:t>college</w:t>
      </w:r>
      <w:r w:rsidRPr="00316BA2">
        <w:rPr>
          <w:rFonts w:ascii="Times New Roman" w:eastAsiaTheme="majorEastAsia" w:hAnsi="Times New Roman" w:cs="Times New Roman"/>
          <w:bCs/>
          <w:color w:val="000000" w:themeColor="text1"/>
        </w:rPr>
        <w:t xml:space="preserve"> environment: A study of faculty members and student perceptions. </w:t>
      </w:r>
      <w:r w:rsidRPr="00316BA2">
        <w:rPr>
          <w:rFonts w:ascii="Times New Roman" w:eastAsiaTheme="majorEastAsia" w:hAnsi="Times New Roman" w:cs="Times New Roman"/>
          <w:bCs/>
          <w:i/>
          <w:color w:val="000000" w:themeColor="text1"/>
        </w:rPr>
        <w:t>Journal of Learning Disabilities</w:t>
      </w:r>
      <w:r w:rsidRPr="00316BA2">
        <w:rPr>
          <w:rFonts w:ascii="Times New Roman" w:eastAsiaTheme="majorEastAsia" w:hAnsi="Times New Roman" w:cs="Times New Roman"/>
          <w:bCs/>
          <w:color w:val="000000" w:themeColor="text1"/>
        </w:rPr>
        <w:t xml:space="preserve">, </w:t>
      </w:r>
      <w:r w:rsidRPr="00316BA2">
        <w:rPr>
          <w:rFonts w:ascii="Times New Roman" w:eastAsiaTheme="majorEastAsia" w:hAnsi="Times New Roman" w:cs="Times New Roman"/>
          <w:bCs/>
          <w:i/>
          <w:iCs/>
          <w:color w:val="000000" w:themeColor="text1"/>
        </w:rPr>
        <w:t>25</w:t>
      </w:r>
      <w:r w:rsidRPr="00316BA2">
        <w:rPr>
          <w:rFonts w:ascii="Times New Roman" w:eastAsiaTheme="majorEastAsia" w:hAnsi="Times New Roman" w:cs="Times New Roman"/>
          <w:bCs/>
          <w:color w:val="000000" w:themeColor="text1"/>
        </w:rPr>
        <w:t>(10), 678-84.</w:t>
      </w:r>
    </w:p>
    <w:p w14:paraId="0BEC5088"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sidRPr="00C44E11">
        <w:rPr>
          <w:rFonts w:ascii="Times New Roman" w:eastAsiaTheme="majorEastAsia" w:hAnsi="Times New Roman" w:cs="Times New Roman"/>
          <w:color w:val="000000" w:themeColor="text1"/>
        </w:rPr>
        <w:t xml:space="preserve">Liberman, Mark. (2018). Creating a Universal Design for Learning Movement. </w:t>
      </w:r>
      <w:r w:rsidRPr="00C44E11">
        <w:rPr>
          <w:rFonts w:ascii="Times New Roman" w:eastAsiaTheme="majorEastAsia" w:hAnsi="Times New Roman" w:cs="Times New Roman"/>
          <w:i/>
          <w:iCs/>
          <w:color w:val="000000" w:themeColor="text1"/>
        </w:rPr>
        <w:t>Inside Higher Ed</w:t>
      </w:r>
      <w:r w:rsidRPr="00C44E11">
        <w:rPr>
          <w:rFonts w:ascii="Times New Roman" w:eastAsiaTheme="majorEastAsia" w:hAnsi="Times New Roman" w:cs="Times New Roman"/>
          <w:color w:val="000000" w:themeColor="text1"/>
        </w:rPr>
        <w:t>. https://www.insidehighered.com/digital-learning/article/2018/02/07/universal-design-learning-arrives-campus-concerted-grassroots.</w:t>
      </w:r>
    </w:p>
    <w:p w14:paraId="03DA3260"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Lombardi, A. R., &amp; Murray, C. (2011). Measuring university faculty members attitudes toward disability: Willingness to accommodate and adopt Universal Design for Learning principles. </w:t>
      </w:r>
      <w:r w:rsidRPr="006F2815">
        <w:rPr>
          <w:rFonts w:ascii="Times New Roman" w:eastAsiaTheme="majorEastAsia" w:hAnsi="Times New Roman" w:cs="Times New Roman"/>
          <w:bCs/>
          <w:i/>
          <w:color w:val="000000" w:themeColor="text1"/>
        </w:rPr>
        <w:t>Journal of Vocational Rehabilitation</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34</w:t>
      </w:r>
      <w:r w:rsidRPr="006F2815">
        <w:rPr>
          <w:rFonts w:ascii="Times New Roman" w:eastAsiaTheme="majorEastAsia" w:hAnsi="Times New Roman" w:cs="Times New Roman"/>
          <w:bCs/>
          <w:color w:val="000000" w:themeColor="text1"/>
        </w:rPr>
        <w:t>(1), 43-56.</w:t>
      </w:r>
    </w:p>
    <w:p w14:paraId="64CB437D"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Moriarty, A</w:t>
      </w:r>
      <w:r w:rsidRPr="00C44E11">
        <w:rPr>
          <w:rFonts w:ascii="Times New Roman" w:eastAsiaTheme="majorEastAsia" w:hAnsi="Times New Roman" w:cs="Times New Roman"/>
          <w:color w:val="000000" w:themeColor="text1"/>
        </w:rPr>
        <w:t xml:space="preserve">. (2018). Developing an Institutional Approach to UDL—Big Bang or Slow Burn? </w:t>
      </w:r>
      <w:r w:rsidRPr="00C44E11">
        <w:rPr>
          <w:rFonts w:ascii="Times New Roman" w:eastAsiaTheme="majorEastAsia" w:hAnsi="Times New Roman" w:cs="Times New Roman"/>
          <w:i/>
          <w:iCs/>
          <w:color w:val="000000" w:themeColor="text1"/>
        </w:rPr>
        <w:t>AHEAD Journal</w:t>
      </w:r>
      <w:r w:rsidRPr="00C44E11">
        <w:rPr>
          <w:rFonts w:ascii="Times New Roman" w:eastAsiaTheme="majorEastAsia" w:hAnsi="Times New Roman" w:cs="Times New Roman"/>
          <w:color w:val="000000" w:themeColor="text1"/>
        </w:rPr>
        <w:t xml:space="preserve"> 1.8. https://www.ahead.ie/journal/Developing-an-Institutional-Approach-to-UDL-Big-Bang-or-Slow-Burn.</w:t>
      </w:r>
    </w:p>
    <w:p w14:paraId="64E8ECF3"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Moriarty, S. (2018). Building a culture of accessibility in higher education.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https://er.educause.edu/blogs/2018/7/building-a-culture-of-accessibility-in-higher-education.</w:t>
      </w:r>
    </w:p>
    <w:p w14:paraId="56D717B8" w14:textId="77777777" w:rsidR="00C44E11" w:rsidRPr="00316BA2" w:rsidRDefault="00C44E11" w:rsidP="00316BA2">
      <w:pPr>
        <w:spacing w:after="0" w:line="240" w:lineRule="auto"/>
        <w:ind w:left="720" w:hanging="720"/>
        <w:rPr>
          <w:rFonts w:ascii="Times New Roman" w:eastAsiaTheme="majorEastAsia" w:hAnsi="Times New Roman" w:cs="Times New Roman"/>
          <w:bCs/>
          <w:color w:val="000000" w:themeColor="text1"/>
        </w:rPr>
      </w:pPr>
      <w:r w:rsidRPr="00316BA2">
        <w:rPr>
          <w:rFonts w:ascii="Times New Roman" w:eastAsiaTheme="majorEastAsia" w:hAnsi="Times New Roman" w:cs="Times New Roman"/>
          <w:bCs/>
          <w:color w:val="000000" w:themeColor="text1"/>
          <w:lang w:val="es-ES"/>
        </w:rPr>
        <w:t xml:space="preserve">Murray, C., Lombardi, A., &amp; Wren, C. (2011). </w:t>
      </w:r>
      <w:r w:rsidRPr="00316BA2">
        <w:rPr>
          <w:rFonts w:ascii="Times New Roman" w:eastAsiaTheme="majorEastAsia" w:hAnsi="Times New Roman" w:cs="Times New Roman"/>
          <w:bCs/>
          <w:color w:val="000000" w:themeColor="text1"/>
        </w:rPr>
        <w:t xml:space="preserve">The effects of disability-focused training on the attitudes and perceptions of </w:t>
      </w:r>
      <w:r>
        <w:rPr>
          <w:rFonts w:ascii="Times New Roman" w:eastAsiaTheme="majorEastAsia" w:hAnsi="Times New Roman" w:cs="Times New Roman"/>
          <w:bCs/>
          <w:color w:val="000000" w:themeColor="text1"/>
        </w:rPr>
        <w:t>college</w:t>
      </w:r>
      <w:r w:rsidRPr="00316BA2">
        <w:rPr>
          <w:rFonts w:ascii="Times New Roman" w:eastAsiaTheme="majorEastAsia" w:hAnsi="Times New Roman" w:cs="Times New Roman"/>
          <w:bCs/>
          <w:color w:val="000000" w:themeColor="text1"/>
        </w:rPr>
        <w:t xml:space="preserve"> staff. </w:t>
      </w:r>
      <w:r w:rsidRPr="00316BA2">
        <w:rPr>
          <w:rFonts w:ascii="Times New Roman" w:eastAsiaTheme="majorEastAsia" w:hAnsi="Times New Roman" w:cs="Times New Roman"/>
          <w:bCs/>
          <w:i/>
          <w:color w:val="000000" w:themeColor="text1"/>
        </w:rPr>
        <w:t>Remedial and Special Education</w:t>
      </w:r>
      <w:r w:rsidRPr="00316BA2">
        <w:rPr>
          <w:rFonts w:ascii="Times New Roman" w:eastAsiaTheme="majorEastAsia" w:hAnsi="Times New Roman" w:cs="Times New Roman"/>
          <w:bCs/>
          <w:color w:val="000000" w:themeColor="text1"/>
        </w:rPr>
        <w:t xml:space="preserve">, </w:t>
      </w:r>
      <w:r w:rsidRPr="00316BA2">
        <w:rPr>
          <w:rFonts w:ascii="Times New Roman" w:eastAsiaTheme="majorEastAsia" w:hAnsi="Times New Roman" w:cs="Times New Roman"/>
          <w:bCs/>
          <w:i/>
          <w:iCs/>
          <w:color w:val="000000" w:themeColor="text1"/>
        </w:rPr>
        <w:t>32</w:t>
      </w:r>
      <w:r w:rsidRPr="00316BA2">
        <w:rPr>
          <w:rFonts w:ascii="Times New Roman" w:eastAsiaTheme="majorEastAsia" w:hAnsi="Times New Roman" w:cs="Times New Roman"/>
          <w:bCs/>
          <w:color w:val="000000" w:themeColor="text1"/>
        </w:rPr>
        <w:t>(4), 290-300.</w:t>
      </w:r>
    </w:p>
    <w:p w14:paraId="14B5C7D6"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bCs/>
          <w:color w:val="000000" w:themeColor="text1"/>
        </w:rPr>
        <w:t xml:space="preserve">Murray, C., Lombardi, A., Wren, C. T., &amp; Keys, C. (2009). Associations between prior disability-focused training and disability-related attitudes and perceptions among university faculty. </w:t>
      </w:r>
      <w:r w:rsidRPr="006F2815">
        <w:rPr>
          <w:rFonts w:ascii="Times New Roman" w:eastAsiaTheme="majorEastAsia" w:hAnsi="Times New Roman" w:cs="Times New Roman"/>
          <w:bCs/>
          <w:i/>
          <w:color w:val="000000" w:themeColor="text1"/>
        </w:rPr>
        <w:t>Learning Disability Quarterly</w:t>
      </w:r>
      <w:r w:rsidRPr="006F2815">
        <w:rPr>
          <w:rFonts w:ascii="Times New Roman" w:eastAsiaTheme="majorEastAsia" w:hAnsi="Times New Roman" w:cs="Times New Roman"/>
          <w:bCs/>
          <w:color w:val="000000" w:themeColor="text1"/>
        </w:rPr>
        <w:t xml:space="preserve">, </w:t>
      </w:r>
      <w:r w:rsidRPr="006F2815">
        <w:rPr>
          <w:rFonts w:ascii="Times New Roman" w:eastAsiaTheme="majorEastAsia" w:hAnsi="Times New Roman" w:cs="Times New Roman"/>
          <w:bCs/>
          <w:i/>
          <w:iCs/>
          <w:color w:val="000000" w:themeColor="text1"/>
        </w:rPr>
        <w:t>32</w:t>
      </w:r>
      <w:r w:rsidRPr="006F2815">
        <w:rPr>
          <w:rFonts w:ascii="Times New Roman" w:eastAsiaTheme="majorEastAsia" w:hAnsi="Times New Roman" w:cs="Times New Roman"/>
          <w:bCs/>
          <w:color w:val="000000" w:themeColor="text1"/>
        </w:rPr>
        <w:t>(2), 87-100.</w:t>
      </w:r>
    </w:p>
    <w:p w14:paraId="1CC015FD"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sidRPr="00C44E11">
        <w:rPr>
          <w:rFonts w:ascii="Times New Roman" w:eastAsiaTheme="majorEastAsia" w:hAnsi="Times New Roman" w:cs="Times New Roman"/>
          <w:color w:val="000000" w:themeColor="text1"/>
        </w:rPr>
        <w:t xml:space="preserve">Nave, Lillian. (2019). Whole Campus UDL Buy-in with Bryan Berrett. </w:t>
      </w:r>
      <w:r w:rsidRPr="00C44E11">
        <w:rPr>
          <w:rFonts w:ascii="Times New Roman" w:eastAsiaTheme="majorEastAsia" w:hAnsi="Times New Roman" w:cs="Times New Roman"/>
          <w:i/>
          <w:iCs/>
          <w:color w:val="000000" w:themeColor="text1"/>
        </w:rPr>
        <w:t>ThinkUDL podcast</w:t>
      </w:r>
      <w:r w:rsidRPr="00C44E11">
        <w:rPr>
          <w:rFonts w:ascii="Times New Roman" w:eastAsiaTheme="majorEastAsia" w:hAnsi="Times New Roman" w:cs="Times New Roman"/>
          <w:color w:val="000000" w:themeColor="text1"/>
        </w:rPr>
        <w:t>. https://thinkudl.org/episodes/whole-campus-udl-buy-in-with-bryan-berrett.</w:t>
      </w:r>
    </w:p>
    <w:p w14:paraId="10185C10" w14:textId="77777777" w:rsidR="00C44E11" w:rsidRPr="00316BA2" w:rsidRDefault="00C44E11" w:rsidP="00316BA2">
      <w:pPr>
        <w:spacing w:after="0" w:line="240" w:lineRule="auto"/>
        <w:ind w:left="720" w:hanging="720"/>
        <w:rPr>
          <w:rFonts w:ascii="Times New Roman" w:eastAsiaTheme="majorEastAsia" w:hAnsi="Times New Roman" w:cs="Times New Roman"/>
          <w:bCs/>
          <w:color w:val="000000" w:themeColor="text1"/>
        </w:rPr>
      </w:pPr>
      <w:r w:rsidRPr="00316BA2">
        <w:rPr>
          <w:rFonts w:ascii="Times New Roman" w:eastAsiaTheme="majorEastAsia" w:hAnsi="Times New Roman" w:cs="Times New Roman"/>
          <w:bCs/>
          <w:color w:val="000000" w:themeColor="text1"/>
        </w:rPr>
        <w:t xml:space="preserve">Nelson, J., Dodd, J., &amp; Smith, D. (1990). Faculty members willingness to accommodate students with learning disabilities. </w:t>
      </w:r>
      <w:r w:rsidRPr="00316BA2">
        <w:rPr>
          <w:rFonts w:ascii="Times New Roman" w:eastAsiaTheme="majorEastAsia" w:hAnsi="Times New Roman" w:cs="Times New Roman"/>
          <w:bCs/>
          <w:i/>
          <w:color w:val="000000" w:themeColor="text1"/>
        </w:rPr>
        <w:t>Journal of Learning Disabilities</w:t>
      </w:r>
      <w:r w:rsidRPr="00316BA2">
        <w:rPr>
          <w:rFonts w:ascii="Times New Roman" w:eastAsiaTheme="majorEastAsia" w:hAnsi="Times New Roman" w:cs="Times New Roman"/>
          <w:bCs/>
          <w:color w:val="000000" w:themeColor="text1"/>
        </w:rPr>
        <w:t xml:space="preserve">, </w:t>
      </w:r>
      <w:r w:rsidRPr="00316BA2">
        <w:rPr>
          <w:rFonts w:ascii="Times New Roman" w:eastAsiaTheme="majorEastAsia" w:hAnsi="Times New Roman" w:cs="Times New Roman"/>
          <w:bCs/>
          <w:i/>
          <w:iCs/>
          <w:color w:val="000000" w:themeColor="text1"/>
        </w:rPr>
        <w:t>23</w:t>
      </w:r>
      <w:r w:rsidRPr="00316BA2">
        <w:rPr>
          <w:rFonts w:ascii="Times New Roman" w:eastAsiaTheme="majorEastAsia" w:hAnsi="Times New Roman" w:cs="Times New Roman"/>
          <w:bCs/>
          <w:color w:val="000000" w:themeColor="text1"/>
        </w:rPr>
        <w:t>(3), 185-189.</w:t>
      </w:r>
    </w:p>
    <w:p w14:paraId="11907A6D"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Thompson, J., Wrye, T., Jenkins, M., &amp; Campbell, C. (2018). Accessibility at the enterprise level: Searching for a cohesive voice within a fractured ecosystem.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https://er.educause.edu/blogs/2018/8/accessibility-at-the-enterprise-level-searching-for-a-cohesive-voice-within-a-fractured-ecosystem.</w:t>
      </w:r>
    </w:p>
    <w:p w14:paraId="6EB56C4E"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Tobin, T. J. &amp; Behling, K. T. (2018). </w:t>
      </w:r>
      <w:r w:rsidRPr="006F2815">
        <w:rPr>
          <w:rFonts w:ascii="Times New Roman" w:eastAsiaTheme="majorEastAsia" w:hAnsi="Times New Roman" w:cs="Times New Roman"/>
          <w:i/>
          <w:iCs/>
          <w:color w:val="000000" w:themeColor="text1"/>
        </w:rPr>
        <w:t>Reach Everyone, Teach Everyone: Universal Design for Learning in Higher Education</w:t>
      </w:r>
      <w:r w:rsidRPr="006F2815">
        <w:rPr>
          <w:rFonts w:ascii="Times New Roman" w:eastAsiaTheme="majorEastAsia" w:hAnsi="Times New Roman" w:cs="Times New Roman"/>
          <w:color w:val="000000" w:themeColor="text1"/>
        </w:rPr>
        <w:t>. Morgantown, WV: West Virginia University Press. https://wvupressonline.com/node/757.</w:t>
      </w:r>
    </w:p>
    <w:p w14:paraId="4108DBD4" w14:textId="77777777" w:rsidR="00C44E11" w:rsidRPr="006F2815" w:rsidRDefault="00C44E11" w:rsidP="006F2815">
      <w:pPr>
        <w:spacing w:after="0" w:line="240" w:lineRule="auto"/>
        <w:ind w:left="720" w:hanging="720"/>
        <w:rPr>
          <w:rFonts w:ascii="Times New Roman" w:eastAsiaTheme="majorEastAsia" w:hAnsi="Times New Roman" w:cs="Times New Roman"/>
          <w:bCs/>
          <w:color w:val="000000" w:themeColor="text1"/>
        </w:rPr>
      </w:pPr>
      <w:r w:rsidRPr="006F2815">
        <w:rPr>
          <w:rFonts w:ascii="Times New Roman" w:eastAsiaTheme="majorEastAsia" w:hAnsi="Times New Roman" w:cs="Times New Roman"/>
          <w:color w:val="000000" w:themeColor="text1"/>
        </w:rPr>
        <w:t xml:space="preserve">Tobin, T. J. (2014). Increase online student retention with universal design for learning. </w:t>
      </w:r>
      <w:r w:rsidRPr="006F2815">
        <w:rPr>
          <w:rFonts w:ascii="Times New Roman" w:eastAsiaTheme="majorEastAsia" w:hAnsi="Times New Roman" w:cs="Times New Roman"/>
          <w:i/>
          <w:iCs/>
          <w:color w:val="000000" w:themeColor="text1"/>
        </w:rPr>
        <w:t>Quarterly Review of Distance Education</w:t>
      </w:r>
      <w:r w:rsidRPr="006F2815">
        <w:rPr>
          <w:rFonts w:ascii="Times New Roman" w:eastAsiaTheme="majorEastAsia" w:hAnsi="Times New Roman" w:cs="Times New Roman"/>
          <w:color w:val="000000" w:themeColor="text1"/>
        </w:rPr>
        <w:t xml:space="preserve"> 15(3): 13-24. http://www.engl.duq.edu/servus/cv/QRDE.UDL.Article.pdf.</w:t>
      </w:r>
    </w:p>
    <w:p w14:paraId="0BE638A6"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Tobin, T.</w:t>
      </w:r>
      <w:r w:rsidRPr="00C44E11">
        <w:rPr>
          <w:rFonts w:ascii="Times New Roman" w:eastAsiaTheme="majorEastAsia" w:hAnsi="Times New Roman" w:cs="Times New Roman"/>
          <w:color w:val="000000" w:themeColor="text1"/>
        </w:rPr>
        <w:t xml:space="preserve"> J. (2018). Re-Framing UDL for Broader Adoption in Higher Education. </w:t>
      </w:r>
      <w:r w:rsidRPr="00C44E11">
        <w:rPr>
          <w:rFonts w:ascii="Times New Roman" w:eastAsiaTheme="majorEastAsia" w:hAnsi="Times New Roman" w:cs="Times New Roman"/>
          <w:i/>
          <w:iCs/>
          <w:color w:val="000000" w:themeColor="text1"/>
        </w:rPr>
        <w:t>Accessing Higher Ground conference proceedings</w:t>
      </w:r>
      <w:r w:rsidRPr="00C44E11">
        <w:rPr>
          <w:rFonts w:ascii="Times New Roman" w:eastAsiaTheme="majorEastAsia" w:hAnsi="Times New Roman" w:cs="Times New Roman"/>
          <w:color w:val="000000" w:themeColor="text1"/>
        </w:rPr>
        <w:t>. AHEAD. https://www.uduc.org/wp-content/uploads/2019/08/20181114-AHEAD-Higher-Ground-Tobin-UDL-Jedi-White-Paper.pdf.</w:t>
      </w:r>
    </w:p>
    <w:p w14:paraId="1A17E99C"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Tobin, T.</w:t>
      </w:r>
      <w:r w:rsidRPr="00C44E11">
        <w:rPr>
          <w:rFonts w:ascii="Times New Roman" w:eastAsiaTheme="majorEastAsia" w:hAnsi="Times New Roman" w:cs="Times New Roman"/>
          <w:color w:val="000000" w:themeColor="text1"/>
        </w:rPr>
        <w:t xml:space="preserve"> J. (2019). Making the UDL Case to Campus &amp; School Leaders. </w:t>
      </w:r>
      <w:r w:rsidRPr="00C44E11">
        <w:rPr>
          <w:rFonts w:ascii="Times New Roman" w:eastAsiaTheme="majorEastAsia" w:hAnsi="Times New Roman" w:cs="Times New Roman"/>
          <w:i/>
          <w:iCs/>
          <w:color w:val="000000" w:themeColor="text1"/>
        </w:rPr>
        <w:t>Learning Designed</w:t>
      </w:r>
      <w:r w:rsidRPr="00C44E11">
        <w:rPr>
          <w:rFonts w:ascii="Times New Roman" w:eastAsiaTheme="majorEastAsia" w:hAnsi="Times New Roman" w:cs="Times New Roman"/>
          <w:color w:val="000000" w:themeColor="text1"/>
        </w:rPr>
        <w:t>. https://www.learningdesigned.org/resource/making-udl-case-campus-school-leaders.</w:t>
      </w:r>
    </w:p>
    <w:p w14:paraId="2269CD15"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Tobin, T. J. (2019). Universal design for learning: Three aces up our IT sleeves. </w:t>
      </w:r>
      <w:r w:rsidRPr="006F2815">
        <w:rPr>
          <w:rFonts w:ascii="Times New Roman" w:eastAsiaTheme="majorEastAsia" w:hAnsi="Times New Roman" w:cs="Times New Roman"/>
          <w:i/>
          <w:iCs/>
          <w:color w:val="000000" w:themeColor="text1"/>
        </w:rPr>
        <w:t>EDUCAUSE Review</w:t>
      </w:r>
      <w:r w:rsidRPr="006F2815">
        <w:rPr>
          <w:rFonts w:ascii="Times New Roman" w:eastAsiaTheme="majorEastAsia" w:hAnsi="Times New Roman" w:cs="Times New Roman"/>
          <w:color w:val="000000" w:themeColor="text1"/>
        </w:rPr>
        <w:t>. https://er.educause.edu/blogs/2019/2/universal-design-for-learning-three-aces-up-our-it-sleeves.</w:t>
      </w:r>
    </w:p>
    <w:p w14:paraId="4FED5613" w14:textId="77777777" w:rsidR="00C44E11" w:rsidRPr="00C44E11" w:rsidRDefault="00C44E11" w:rsidP="00C44E11">
      <w:pPr>
        <w:spacing w:after="0" w:line="240" w:lineRule="auto"/>
        <w:ind w:left="720" w:hanging="720"/>
        <w:rPr>
          <w:rFonts w:ascii="Times New Roman" w:eastAsiaTheme="majorEastAsia" w:hAnsi="Times New Roman" w:cs="Times New Roman"/>
          <w:color w:val="000000" w:themeColor="text1"/>
        </w:rPr>
      </w:pPr>
      <w:r w:rsidRPr="00C44E11">
        <w:rPr>
          <w:rFonts w:ascii="Times New Roman" w:eastAsiaTheme="majorEastAsia" w:hAnsi="Times New Roman" w:cs="Times New Roman"/>
          <w:color w:val="000000" w:themeColor="text1"/>
        </w:rPr>
        <w:t xml:space="preserve">University of Kentucky. (2014). </w:t>
      </w:r>
      <w:r w:rsidRPr="00C44E11">
        <w:rPr>
          <w:rFonts w:ascii="Times New Roman" w:eastAsiaTheme="majorEastAsia" w:hAnsi="Times New Roman" w:cs="Times New Roman"/>
          <w:i/>
          <w:iCs/>
          <w:color w:val="000000" w:themeColor="text1"/>
        </w:rPr>
        <w:t>Universal Design for Learning (UDL) Initiative</w:t>
      </w:r>
      <w:r w:rsidRPr="00C44E11">
        <w:rPr>
          <w:rFonts w:ascii="Times New Roman" w:eastAsiaTheme="majorEastAsia" w:hAnsi="Times New Roman" w:cs="Times New Roman"/>
          <w:color w:val="000000" w:themeColor="text1"/>
        </w:rPr>
        <w:t>. https://www.uky.edu/udl/.</w:t>
      </w:r>
    </w:p>
    <w:p w14:paraId="5F0C00A0" w14:textId="77777777" w:rsidR="00C44E11" w:rsidRPr="006F2815" w:rsidRDefault="00C44E11" w:rsidP="006F2815">
      <w:pPr>
        <w:spacing w:after="0" w:line="240" w:lineRule="auto"/>
        <w:ind w:left="720" w:hanging="720"/>
        <w:rPr>
          <w:rFonts w:ascii="Times New Roman" w:eastAsiaTheme="majorEastAsia" w:hAnsi="Times New Roman" w:cs="Times New Roman"/>
          <w:color w:val="000000" w:themeColor="text1"/>
        </w:rPr>
      </w:pPr>
      <w:r w:rsidRPr="006F2815">
        <w:rPr>
          <w:rFonts w:ascii="Times New Roman" w:eastAsiaTheme="majorEastAsia" w:hAnsi="Times New Roman" w:cs="Times New Roman"/>
          <w:color w:val="000000" w:themeColor="text1"/>
        </w:rPr>
        <w:t xml:space="preserve">Zhang, D., Landmark, L., Reber, A., Hsu, H., Kwok, O., and Benz, M. (2010). University faculty members knowledge, beliefs, and practices in providing reasonable accommodations to students with disabilities. </w:t>
      </w:r>
      <w:r w:rsidRPr="006F2815">
        <w:rPr>
          <w:rFonts w:ascii="Times New Roman" w:eastAsiaTheme="majorEastAsia" w:hAnsi="Times New Roman" w:cs="Times New Roman"/>
          <w:i/>
          <w:iCs/>
          <w:color w:val="000000" w:themeColor="text1"/>
        </w:rPr>
        <w:t>Remedial and Special Education</w:t>
      </w:r>
      <w:r w:rsidRPr="006F2815">
        <w:rPr>
          <w:rFonts w:ascii="Times New Roman" w:eastAsiaTheme="majorEastAsia" w:hAnsi="Times New Roman" w:cs="Times New Roman"/>
          <w:color w:val="000000" w:themeColor="text1"/>
        </w:rPr>
        <w:t xml:space="preserve">, </w:t>
      </w:r>
      <w:r w:rsidRPr="006F2815">
        <w:rPr>
          <w:rFonts w:ascii="Times New Roman" w:eastAsiaTheme="majorEastAsia" w:hAnsi="Times New Roman" w:cs="Times New Roman"/>
          <w:i/>
          <w:color w:val="000000" w:themeColor="text1"/>
        </w:rPr>
        <w:t>31</w:t>
      </w:r>
      <w:r w:rsidRPr="006F2815">
        <w:rPr>
          <w:rFonts w:ascii="Times New Roman" w:eastAsiaTheme="majorEastAsia" w:hAnsi="Times New Roman" w:cs="Times New Roman"/>
          <w:color w:val="000000" w:themeColor="text1"/>
        </w:rPr>
        <w:t>(4): 276-286.</w:t>
      </w:r>
    </w:p>
    <w:p w14:paraId="6A80DF47" w14:textId="77777777" w:rsidR="00534538" w:rsidRDefault="00534538" w:rsidP="00316BA2">
      <w:pPr>
        <w:spacing w:after="0" w:line="240" w:lineRule="auto"/>
        <w:rPr>
          <w:rStyle w:val="Heading2Char"/>
          <w:rFonts w:ascii="Times New Roman" w:hAnsi="Times New Roman" w:cs="Times New Roman"/>
          <w:b w:val="0"/>
          <w:bCs w:val="0"/>
          <w:color w:val="000000" w:themeColor="text1"/>
          <w:sz w:val="22"/>
          <w:szCs w:val="22"/>
        </w:rPr>
      </w:pPr>
    </w:p>
    <w:p w14:paraId="6D0288DF" w14:textId="77777777" w:rsidR="00534538" w:rsidRPr="002C3183" w:rsidRDefault="00534538" w:rsidP="00316BA2">
      <w:pPr>
        <w:spacing w:after="0" w:line="240" w:lineRule="auto"/>
        <w:rPr>
          <w:rFonts w:ascii="Times New Roman" w:eastAsiaTheme="majorEastAsia" w:hAnsi="Times New Roman" w:cs="Times New Roman"/>
          <w:color w:val="000000" w:themeColor="text1"/>
        </w:rPr>
      </w:pPr>
    </w:p>
    <w:sectPr w:rsidR="00534538" w:rsidRPr="002C3183" w:rsidSect="0067263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D835" w14:textId="77777777" w:rsidR="00D97E45" w:rsidRDefault="00D97E45" w:rsidP="00672630">
      <w:pPr>
        <w:spacing w:after="0" w:line="240" w:lineRule="auto"/>
      </w:pPr>
      <w:r>
        <w:separator/>
      </w:r>
    </w:p>
  </w:endnote>
  <w:endnote w:type="continuationSeparator" w:id="0">
    <w:p w14:paraId="5B8BFD5B" w14:textId="77777777" w:rsidR="00D97E45" w:rsidRDefault="00D97E45" w:rsidP="0067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699614"/>
      <w:docPartObj>
        <w:docPartGallery w:val="Page Numbers (Bottom of Page)"/>
        <w:docPartUnique/>
      </w:docPartObj>
    </w:sdtPr>
    <w:sdtEndPr>
      <w:rPr>
        <w:rFonts w:ascii="Times New Roman" w:hAnsi="Times New Roman" w:cs="Times New Roman"/>
        <w:noProof/>
        <w:sz w:val="24"/>
        <w:szCs w:val="24"/>
      </w:rPr>
    </w:sdtEndPr>
    <w:sdtContent>
      <w:p w14:paraId="416A6BDE" w14:textId="77777777" w:rsidR="00672630" w:rsidRPr="00672630" w:rsidRDefault="00672630">
        <w:pPr>
          <w:pStyle w:val="Footer"/>
          <w:jc w:val="center"/>
          <w:rPr>
            <w:rFonts w:ascii="Times New Roman" w:hAnsi="Times New Roman" w:cs="Times New Roman"/>
            <w:sz w:val="24"/>
            <w:szCs w:val="24"/>
          </w:rPr>
        </w:pPr>
        <w:r w:rsidRPr="00672630">
          <w:rPr>
            <w:rFonts w:ascii="Times New Roman" w:hAnsi="Times New Roman" w:cs="Times New Roman"/>
            <w:sz w:val="24"/>
            <w:szCs w:val="24"/>
          </w:rPr>
          <w:fldChar w:fldCharType="begin"/>
        </w:r>
        <w:r w:rsidRPr="00672630">
          <w:rPr>
            <w:rFonts w:ascii="Times New Roman" w:hAnsi="Times New Roman" w:cs="Times New Roman"/>
            <w:sz w:val="24"/>
            <w:szCs w:val="24"/>
          </w:rPr>
          <w:instrText xml:space="preserve"> PAGE   \* MERGEFORMAT </w:instrText>
        </w:r>
        <w:r w:rsidRPr="00672630">
          <w:rPr>
            <w:rFonts w:ascii="Times New Roman" w:hAnsi="Times New Roman" w:cs="Times New Roman"/>
            <w:sz w:val="24"/>
            <w:szCs w:val="24"/>
          </w:rPr>
          <w:fldChar w:fldCharType="separate"/>
        </w:r>
        <w:r w:rsidR="003E5610">
          <w:rPr>
            <w:rFonts w:ascii="Times New Roman" w:hAnsi="Times New Roman" w:cs="Times New Roman"/>
            <w:noProof/>
            <w:sz w:val="24"/>
            <w:szCs w:val="24"/>
          </w:rPr>
          <w:t>6</w:t>
        </w:r>
        <w:r w:rsidRPr="00672630">
          <w:rPr>
            <w:rFonts w:ascii="Times New Roman" w:hAnsi="Times New Roman" w:cs="Times New Roman"/>
            <w:noProof/>
            <w:sz w:val="24"/>
            <w:szCs w:val="24"/>
          </w:rPr>
          <w:fldChar w:fldCharType="end"/>
        </w:r>
      </w:p>
    </w:sdtContent>
  </w:sdt>
  <w:p w14:paraId="2AB8FA1E" w14:textId="77777777" w:rsidR="00672630" w:rsidRDefault="0067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07A2" w14:textId="77777777" w:rsidR="00D97E45" w:rsidRDefault="00D97E45" w:rsidP="00672630">
      <w:pPr>
        <w:spacing w:after="0" w:line="240" w:lineRule="auto"/>
      </w:pPr>
      <w:r>
        <w:separator/>
      </w:r>
    </w:p>
  </w:footnote>
  <w:footnote w:type="continuationSeparator" w:id="0">
    <w:p w14:paraId="0ECD9845" w14:textId="77777777" w:rsidR="00D97E45" w:rsidRDefault="00D97E45" w:rsidP="00672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00BF"/>
    <w:multiLevelType w:val="hybridMultilevel"/>
    <w:tmpl w:val="9F6C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1A84"/>
    <w:multiLevelType w:val="hybridMultilevel"/>
    <w:tmpl w:val="D1F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C7AD5"/>
    <w:multiLevelType w:val="hybridMultilevel"/>
    <w:tmpl w:val="37D2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55BC"/>
    <w:multiLevelType w:val="hybridMultilevel"/>
    <w:tmpl w:val="A5D8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838DF"/>
    <w:multiLevelType w:val="hybridMultilevel"/>
    <w:tmpl w:val="7F5E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80E8A"/>
    <w:multiLevelType w:val="hybridMultilevel"/>
    <w:tmpl w:val="ECE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752E5"/>
    <w:multiLevelType w:val="hybridMultilevel"/>
    <w:tmpl w:val="E07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D6EF7"/>
    <w:multiLevelType w:val="hybridMultilevel"/>
    <w:tmpl w:val="8EC8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531F8"/>
    <w:multiLevelType w:val="hybridMultilevel"/>
    <w:tmpl w:val="4AD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728250">
    <w:abstractNumId w:val="2"/>
  </w:num>
  <w:num w:numId="2" w16cid:durableId="2127847414">
    <w:abstractNumId w:val="5"/>
  </w:num>
  <w:num w:numId="3" w16cid:durableId="1266234053">
    <w:abstractNumId w:val="8"/>
  </w:num>
  <w:num w:numId="4" w16cid:durableId="1677003678">
    <w:abstractNumId w:val="0"/>
  </w:num>
  <w:num w:numId="5" w16cid:durableId="2049337618">
    <w:abstractNumId w:val="1"/>
  </w:num>
  <w:num w:numId="6" w16cid:durableId="297414487">
    <w:abstractNumId w:val="7"/>
  </w:num>
  <w:num w:numId="7" w16cid:durableId="1753811950">
    <w:abstractNumId w:val="6"/>
  </w:num>
  <w:num w:numId="8" w16cid:durableId="348988937">
    <w:abstractNumId w:val="4"/>
  </w:num>
  <w:num w:numId="9" w16cid:durableId="50359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BDC"/>
    <w:rsid w:val="00004FFA"/>
    <w:rsid w:val="00007AE2"/>
    <w:rsid w:val="00014CE2"/>
    <w:rsid w:val="00074097"/>
    <w:rsid w:val="0007750A"/>
    <w:rsid w:val="000C209B"/>
    <w:rsid w:val="000E6E00"/>
    <w:rsid w:val="000F0A06"/>
    <w:rsid w:val="001040EE"/>
    <w:rsid w:val="00114322"/>
    <w:rsid w:val="00133AA4"/>
    <w:rsid w:val="00136E4A"/>
    <w:rsid w:val="001731C3"/>
    <w:rsid w:val="00174FEB"/>
    <w:rsid w:val="00197BBB"/>
    <w:rsid w:val="001A0D5F"/>
    <w:rsid w:val="001C0489"/>
    <w:rsid w:val="001E3682"/>
    <w:rsid w:val="001E5362"/>
    <w:rsid w:val="001E6134"/>
    <w:rsid w:val="001E7D8D"/>
    <w:rsid w:val="001F3DC7"/>
    <w:rsid w:val="002100EC"/>
    <w:rsid w:val="002226AE"/>
    <w:rsid w:val="00223B6F"/>
    <w:rsid w:val="00237E91"/>
    <w:rsid w:val="00263EC0"/>
    <w:rsid w:val="00270A51"/>
    <w:rsid w:val="002808FF"/>
    <w:rsid w:val="00281A81"/>
    <w:rsid w:val="002A1208"/>
    <w:rsid w:val="002A3CA9"/>
    <w:rsid w:val="002C3183"/>
    <w:rsid w:val="002D5380"/>
    <w:rsid w:val="00316BA2"/>
    <w:rsid w:val="00372744"/>
    <w:rsid w:val="00392012"/>
    <w:rsid w:val="003B53F0"/>
    <w:rsid w:val="003D1E9A"/>
    <w:rsid w:val="003E5610"/>
    <w:rsid w:val="003E79B1"/>
    <w:rsid w:val="00427749"/>
    <w:rsid w:val="004B361C"/>
    <w:rsid w:val="004B526D"/>
    <w:rsid w:val="004F075E"/>
    <w:rsid w:val="00523DAF"/>
    <w:rsid w:val="00531D07"/>
    <w:rsid w:val="00534538"/>
    <w:rsid w:val="005362B2"/>
    <w:rsid w:val="00544AFA"/>
    <w:rsid w:val="0056054C"/>
    <w:rsid w:val="005663F3"/>
    <w:rsid w:val="005901BB"/>
    <w:rsid w:val="005A4C6F"/>
    <w:rsid w:val="005C4A60"/>
    <w:rsid w:val="005D45D3"/>
    <w:rsid w:val="005E1DFB"/>
    <w:rsid w:val="00621535"/>
    <w:rsid w:val="00624A3D"/>
    <w:rsid w:val="00633D04"/>
    <w:rsid w:val="006457F4"/>
    <w:rsid w:val="00651780"/>
    <w:rsid w:val="00654901"/>
    <w:rsid w:val="00672630"/>
    <w:rsid w:val="00687C2D"/>
    <w:rsid w:val="006A0683"/>
    <w:rsid w:val="006A3741"/>
    <w:rsid w:val="006D54AF"/>
    <w:rsid w:val="006E1A57"/>
    <w:rsid w:val="006F2815"/>
    <w:rsid w:val="00706F4F"/>
    <w:rsid w:val="00733C5C"/>
    <w:rsid w:val="00760528"/>
    <w:rsid w:val="007625C4"/>
    <w:rsid w:val="00790AE5"/>
    <w:rsid w:val="00791934"/>
    <w:rsid w:val="007A4677"/>
    <w:rsid w:val="007A4C11"/>
    <w:rsid w:val="007A6E04"/>
    <w:rsid w:val="007D4047"/>
    <w:rsid w:val="0080057E"/>
    <w:rsid w:val="008024F2"/>
    <w:rsid w:val="00813CF1"/>
    <w:rsid w:val="00814B0D"/>
    <w:rsid w:val="00814F2F"/>
    <w:rsid w:val="00843398"/>
    <w:rsid w:val="00851B08"/>
    <w:rsid w:val="00861246"/>
    <w:rsid w:val="00867016"/>
    <w:rsid w:val="00885ABC"/>
    <w:rsid w:val="008A59F1"/>
    <w:rsid w:val="008D2D3D"/>
    <w:rsid w:val="00964826"/>
    <w:rsid w:val="00964BDC"/>
    <w:rsid w:val="009A56CC"/>
    <w:rsid w:val="009E5866"/>
    <w:rsid w:val="00A34FAF"/>
    <w:rsid w:val="00A5450C"/>
    <w:rsid w:val="00A6599F"/>
    <w:rsid w:val="00A77126"/>
    <w:rsid w:val="00A83F18"/>
    <w:rsid w:val="00A9655D"/>
    <w:rsid w:val="00AE586C"/>
    <w:rsid w:val="00B25C6F"/>
    <w:rsid w:val="00B34A90"/>
    <w:rsid w:val="00BB728C"/>
    <w:rsid w:val="00C056BB"/>
    <w:rsid w:val="00C12380"/>
    <w:rsid w:val="00C44E11"/>
    <w:rsid w:val="00C6187A"/>
    <w:rsid w:val="00C837E7"/>
    <w:rsid w:val="00C83BDD"/>
    <w:rsid w:val="00C94D58"/>
    <w:rsid w:val="00C96DE8"/>
    <w:rsid w:val="00CA4BE4"/>
    <w:rsid w:val="00CC3822"/>
    <w:rsid w:val="00D32B04"/>
    <w:rsid w:val="00D76C43"/>
    <w:rsid w:val="00D927C3"/>
    <w:rsid w:val="00D97E45"/>
    <w:rsid w:val="00DE6EB6"/>
    <w:rsid w:val="00E14549"/>
    <w:rsid w:val="00E27B09"/>
    <w:rsid w:val="00E4023A"/>
    <w:rsid w:val="00E434C5"/>
    <w:rsid w:val="00E44F10"/>
    <w:rsid w:val="00E553F2"/>
    <w:rsid w:val="00E76034"/>
    <w:rsid w:val="00E9135F"/>
    <w:rsid w:val="00EA6898"/>
    <w:rsid w:val="00ED2327"/>
    <w:rsid w:val="00ED5560"/>
    <w:rsid w:val="00ED6A24"/>
    <w:rsid w:val="00EF1A58"/>
    <w:rsid w:val="00F12254"/>
    <w:rsid w:val="00F507EE"/>
    <w:rsid w:val="00F5412F"/>
    <w:rsid w:val="00F8058F"/>
    <w:rsid w:val="00F80E34"/>
    <w:rsid w:val="00F83E61"/>
    <w:rsid w:val="00FD011F"/>
    <w:rsid w:val="00FE6E78"/>
    <w:rsid w:val="00FF6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124"/>
  <w15:docId w15:val="{F006295F-A88D-4ECF-BF9C-F03A692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01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01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01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E78"/>
    <w:rPr>
      <w:color w:val="0000FF"/>
      <w:u w:val="single"/>
    </w:rPr>
  </w:style>
  <w:style w:type="paragraph" w:styleId="ListParagraph">
    <w:name w:val="List Paragraph"/>
    <w:basedOn w:val="Normal"/>
    <w:uiPriority w:val="34"/>
    <w:qFormat/>
    <w:rsid w:val="00FE6E78"/>
    <w:pPr>
      <w:ind w:left="720"/>
      <w:contextualSpacing/>
    </w:pPr>
  </w:style>
  <w:style w:type="paragraph" w:styleId="Header">
    <w:name w:val="header"/>
    <w:basedOn w:val="Normal"/>
    <w:link w:val="HeaderChar"/>
    <w:uiPriority w:val="99"/>
    <w:unhideWhenUsed/>
    <w:rsid w:val="0067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30"/>
  </w:style>
  <w:style w:type="paragraph" w:styleId="Footer">
    <w:name w:val="footer"/>
    <w:basedOn w:val="Normal"/>
    <w:link w:val="FooterChar"/>
    <w:uiPriority w:val="99"/>
    <w:unhideWhenUsed/>
    <w:rsid w:val="0067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30"/>
  </w:style>
  <w:style w:type="paragraph" w:customStyle="1" w:styleId="paragraph">
    <w:name w:val="paragraph"/>
    <w:basedOn w:val="Normal"/>
    <w:rsid w:val="00263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EC0"/>
  </w:style>
  <w:style w:type="character" w:customStyle="1" w:styleId="apple-converted-space">
    <w:name w:val="apple-converted-space"/>
    <w:basedOn w:val="DefaultParagraphFont"/>
    <w:rsid w:val="00263EC0"/>
  </w:style>
  <w:style w:type="character" w:customStyle="1" w:styleId="eop">
    <w:name w:val="eop"/>
    <w:basedOn w:val="DefaultParagraphFont"/>
    <w:rsid w:val="00263EC0"/>
  </w:style>
  <w:style w:type="character" w:customStyle="1" w:styleId="spellingerror">
    <w:name w:val="spellingerror"/>
    <w:basedOn w:val="DefaultParagraphFont"/>
    <w:rsid w:val="00263EC0"/>
  </w:style>
  <w:style w:type="character" w:customStyle="1" w:styleId="Heading1Char">
    <w:name w:val="Heading 1 Char"/>
    <w:basedOn w:val="DefaultParagraphFont"/>
    <w:link w:val="Heading1"/>
    <w:uiPriority w:val="9"/>
    <w:rsid w:val="00007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01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01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011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Tobin</dc:creator>
  <cp:lastModifiedBy>Kylie Geard</cp:lastModifiedBy>
  <cp:revision>7</cp:revision>
  <cp:lastPrinted>2017-06-06T20:55:00Z</cp:lastPrinted>
  <dcterms:created xsi:type="dcterms:W3CDTF">2024-02-12T18:30:00Z</dcterms:created>
  <dcterms:modified xsi:type="dcterms:W3CDTF">2024-05-27T04:36:00Z</dcterms:modified>
</cp:coreProperties>
</file>